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400"/>
      </w:pPr>
      <w:r>
        <w:t xml:space="preserve"/>
      </w:r>
    </w:p>
    <w:p>
      <w:pPr>
        <w:spacing w:after="120" w:before="120"/>
        <w:jc w:val="center"/>
      </w:pPr>
      <w:r>
        <w:rPr>
          <w:rFonts w:ascii="Garamond" w:cs="Garamond" w:eastAsia="Garamond" w:hAnsi="Garamond"/>
          <w:b/>
          <w:bCs/>
          <w:sz w:val="56"/>
          <w:szCs w:val="56"/>
        </w:rPr>
        <w:t xml:space="preserve">From Wilderness to Restoration</w:t>
      </w:r>
    </w:p>
    <w:p>
      <w:pPr>
        <w:spacing w:before="240"/>
        <w:jc w:val="center"/>
      </w:pPr>
      <w:r>
        <w:rPr>
          <w:rFonts w:ascii="Garamond" w:cs="Garamond" w:eastAsia="Garamond" w:hAnsi="Garamond"/>
          <w:i/>
          <w:iCs/>
          <w:sz w:val="28"/>
          <w:szCs w:val="28"/>
        </w:rPr>
        <w:t xml:space="preserve">The Woman of Revelation 12, the 1,260-Day Prophecy,</w:t>
      </w:r>
    </w:p>
    <w:p>
      <w:pPr>
        <w:spacing w:after="60" w:before="60"/>
        <w:jc w:val="center"/>
      </w:pPr>
      <w:r>
        <w:rPr>
          <w:rFonts w:ascii="Garamond" w:cs="Garamond" w:eastAsia="Garamond" w:hAnsi="Garamond"/>
          <w:i/>
          <w:iCs/>
          <w:sz w:val="28"/>
          <w:szCs w:val="28"/>
        </w:rPr>
        <w:t xml:space="preserve">and the Prophetic Architecture of 1830</w:t>
      </w:r>
    </w:p>
    <w:p>
      <w:pPr>
        <w:spacing w:before="720"/>
        <w:jc w:val="center"/>
      </w:pPr>
      <w:r>
        <w:rPr>
          <w:rFonts w:ascii="Garamond" w:cs="Garamond" w:eastAsia="Garamond" w:hAnsi="Garamond"/>
          <w:sz w:val="24"/>
          <w:szCs w:val="24"/>
        </w:rPr>
        <w:t xml:space="preserve">─────────</w:t>
      </w:r>
    </w:p>
    <w:p>
      <w:pPr>
        <w:spacing w:before="480"/>
        <w:jc w:val="center"/>
      </w:pPr>
      <w:r>
        <w:rPr>
          <w:rFonts w:ascii="Garamond" w:cs="Garamond" w:eastAsia="Garamond" w:hAnsi="Garamond"/>
          <w:i/>
          <w:iCs/>
          <w:sz w:val="26"/>
          <w:szCs w:val="26"/>
        </w:rPr>
        <w:t xml:space="preserve">A Study in Prophecy, Apostasy, and Restoration</w:t>
      </w:r>
    </w:p>
    <w:p>
      <w:pPr>
        <w:spacing w:before="720"/>
        <w:jc w:val="center"/>
      </w:pPr>
      <w:r>
        <w:rPr>
          <w:rFonts w:ascii="Garamond" w:cs="Garamond" w:eastAsia="Garamond" w:hAnsi="Garamond"/>
          <w:i/>
          <w:iCs/>
          <w:color w:val="595959"/>
          <w:sz w:val="22"/>
          <w:szCs w:val="22"/>
        </w:rPr>
        <w:t xml:space="preserve">Published April 27, 2026</w:t>
      </w:r>
    </w:p>
    <w:p>
      <w:r>
        <w:br w:type="page"/>
      </w:r>
    </w:p>
    <w:p>
      <w:pPr>
        <w:pStyle w:val="Heading1"/>
        <w:spacing w:after="180" w:before="360"/>
        <w:jc w:val="left"/>
      </w:pPr>
      <w:r>
        <w:rPr>
          <w:rFonts w:ascii="Garamond" w:cs="Garamond" w:eastAsia="Garamond" w:hAnsi="Garamond"/>
          <w:b/>
          <w:bCs/>
          <w:sz w:val="32"/>
          <w:szCs w:val="32"/>
        </w:rPr>
        <w:t xml:space="preserve">Author's Preface — How This Inquiry Began</w:t>
      </w:r>
    </w:p>
    <w:p>
      <w:pPr>
        <w:spacing w:after="80" w:before="80" w:line="300"/>
        <w:jc w:val="both"/>
      </w:pPr>
      <w:r>
        <w:rPr>
          <w:rFonts w:ascii="Garamond" w:cs="Garamond" w:eastAsia="Garamond" w:hAnsi="Garamond"/>
          <w:sz w:val="24"/>
          <w:szCs w:val="24"/>
        </w:rPr>
        <w:t xml:space="preserve">This study did not begin as a research project. It began with prompting. Across at least five separate occasions, the author felt drawn to take up the question — most pointedly when the younger brother of a former roommate (from his time at Brent Brown Toyota) reached out unprompted to mention the year 1830 as a prophetic terminus. The connection seemed unremarkable at the time. Only later did the recurring impressions — and the convergence of seemingly unrelated reading — make clear that the question deserved sustained attention.</w:t>
      </w:r>
    </w:p>
    <w:p>
      <w:pPr>
        <w:spacing w:after="80" w:before="80" w:line="300"/>
        <w:jc w:val="both"/>
      </w:pPr>
      <w:r>
        <w:rPr>
          <w:rFonts w:ascii="Garamond" w:cs="Garamond" w:eastAsia="Garamond" w:hAnsi="Garamond"/>
          <w:sz w:val="24"/>
          <w:szCs w:val="24"/>
        </w:rPr>
        <w:t xml:space="preserve">The structure that emerged is a layered one, weaving together motifs that initially appear independent: the Dark Ages as a prophetic wilderness, the Second Great Awakening as the dawn after that night, and the United States as the providential “cradle” in which the Restoration could be born — the woman of Revelation 12 not only emerging from the wilderness but laying her child down in a cradle prepared for him to grow.</w:t>
      </w:r>
    </w:p>
    <w:p>
      <w:pPr>
        <w:spacing w:after="80" w:before="80" w:line="300"/>
        <w:jc w:val="both"/>
      </w:pPr>
      <w:r>
        <w:rPr>
          <w:rFonts w:ascii="Garamond" w:cs="Garamond" w:eastAsia="Garamond" w:hAnsi="Garamond"/>
          <w:sz w:val="24"/>
          <w:szCs w:val="24"/>
        </w:rPr>
        <w:t xml:space="preserve">This document organizes the resulting material academically, preserving the original argument while honestly presenting the several legitimate ways the underlying prophecies can be read.</w:t>
      </w:r>
    </w:p>
    <w:p>
      <w:pPr>
        <w:pStyle w:val="Heading1"/>
        <w:spacing w:after="180" w:before="360"/>
        <w:jc w:val="left"/>
      </w:pPr>
      <w:r>
        <w:rPr>
          <w:rFonts w:ascii="Garamond" w:cs="Garamond" w:eastAsia="Garamond" w:hAnsi="Garamond"/>
          <w:b/>
          <w:bCs/>
          <w:sz w:val="32"/>
          <w:szCs w:val="32"/>
        </w:rPr>
        <w:t xml:space="preserve">Abstract</w:t>
      </w:r>
    </w:p>
    <w:p>
      <w:pPr>
        <w:spacing w:after="80" w:before="80" w:line="300"/>
        <w:jc w:val="both"/>
      </w:pPr>
      <w:r>
        <w:rPr>
          <w:rFonts w:ascii="Garamond" w:cs="Garamond" w:eastAsia="Garamond" w:hAnsi="Garamond"/>
          <w:sz w:val="24"/>
          <w:szCs w:val="24"/>
        </w:rPr>
        <w:t xml:space="preserve">This paper examines the prophetic image of the woman who flees into the wilderness in Revelation 12, situating it within (a) Daniel's chronological framework of 1,260 / 1,290 / 1,335 days; (b) the wilderness typology of the Old Testament; (c) the historicist tradition that converts these symbolic days into literal years; and (d) the broader prophetic arc of apostasy and restoration traced by Isaiah, Malachi, the Book of Mormon, and Joseph Smith. The paper presents three distinct historicist date-chains — 538→1798, 539→1829, and 721 BC → 570 AD → 1830 AD — and argues that, regardless of which calculation is preferred, the late eighteenth and early nineteenth centuries constitute a coherent post-wilderness window in which the prophetic motifs of restoration coalesce. The 1830 organization of the Church of Christ functions, on this reading, as the visible emergence of the woman from her wilderness — the moment the long apostasy gives way to a renewed dispensation of priesthood, ordinance, and revelation.</w:t>
      </w:r>
    </w:p>
    <w:p>
      <w:r>
        <w:br w:type="page"/>
      </w:r>
    </w:p>
    <w:p>
      <w:pPr>
        <w:pStyle w:val="Heading1"/>
        <w:spacing w:after="240" w:before="480"/>
        <w:jc w:val="center"/>
      </w:pPr>
      <w:r>
        <w:rPr>
          <w:rFonts w:ascii="Garamond" w:cs="Garamond" w:eastAsia="Garamond" w:hAnsi="Garamond"/>
          <w:b/>
          <w:bCs/>
          <w:smallCaps/>
          <w:sz w:val="34"/>
          <w:szCs w:val="34"/>
        </w:rPr>
        <w:t xml:space="preserve">Part I — The Prophetic Text</w:t>
      </w:r>
    </w:p>
    <w:p>
      <w:pPr>
        <w:pStyle w:val="Heading1"/>
        <w:spacing w:after="180" w:before="360"/>
        <w:jc w:val="left"/>
      </w:pPr>
      <w:r>
        <w:rPr>
          <w:rFonts w:ascii="Garamond" w:cs="Garamond" w:eastAsia="Garamond" w:hAnsi="Garamond"/>
          <w:b/>
          <w:bCs/>
          <w:sz w:val="32"/>
          <w:szCs w:val="32"/>
        </w:rPr>
        <w:t xml:space="preserve">I. Revelation 12: The Primary Text</w:t>
      </w:r>
    </w:p>
    <w:p>
      <w:pPr>
        <w:spacing w:after="120" w:before="120" w:line="280"/>
        <w:ind w:left="720" w:right="720"/>
        <w:jc w:val="both"/>
      </w:pPr>
      <w:r>
        <w:rPr>
          <w:rFonts w:ascii="Garamond" w:cs="Garamond" w:eastAsia="Garamond" w:hAnsi="Garamond"/>
          <w:i/>
          <w:iCs/>
          <w:sz w:val="22"/>
          <w:szCs w:val="22"/>
        </w:rPr>
        <w:t xml:space="preserve">Revelation 12:6. “And the woman fled into the wilderness, where she hath a place prepared of God, that they should feed her there a thousand two hundred and threescore days.”</w:t>
      </w:r>
    </w:p>
    <w:p>
      <w:pPr>
        <w:spacing w:after="120" w:before="120" w:line="280"/>
        <w:ind w:left="720" w:right="720"/>
        <w:jc w:val="both"/>
      </w:pPr>
      <w:r>
        <w:rPr>
          <w:rFonts w:ascii="Garamond" w:cs="Garamond" w:eastAsia="Garamond" w:hAnsi="Garamond"/>
          <w:i/>
          <w:iCs/>
          <w:sz w:val="22"/>
          <w:szCs w:val="22"/>
        </w:rPr>
        <w:t xml:space="preserve">Revelation 12:13–14. “And when the dragon saw that he was cast unto the earth, he persecuted the woman which brought forth the man child. And to the woman were given two wings of a great eagle, that she might fly into the wilderness, into her place, where she is nourished for a time, and times, and half a time, from the face of the serpent.”</w:t>
      </w:r>
    </w:p>
    <w:p>
      <w:pPr>
        <w:pStyle w:val="Heading2"/>
        <w:spacing w:after="140" w:before="280"/>
      </w:pPr>
      <w:r>
        <w:rPr>
          <w:rFonts w:ascii="Garamond" w:cs="Garamond" w:eastAsia="Garamond" w:hAnsi="Garamond"/>
          <w:b/>
          <w:bCs/>
          <w:sz w:val="28"/>
          <w:szCs w:val="28"/>
        </w:rPr>
        <w:t xml:space="preserve">Symbolic Identification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6240"/>
      </w:tblGrid>
      <w:tr>
        <w:trPr>
          <w:tblHeader/>
        </w:trPr>
        <w:tc>
          <w:tcPr>
            <w:tcW w:type="dxa" w:w="312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Symbol</w:t>
            </w:r>
          </w:p>
        </w:tc>
        <w:tc>
          <w:tcPr>
            <w:tcW w:type="dxa" w:w="624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Identification</w:t>
            </w:r>
          </w:p>
        </w:tc>
      </w:tr>
      <w:tr>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The Woman</w:t>
            </w:r>
          </w:p>
        </w:tc>
        <w:tc>
          <w:tcPr>
            <w:tcW w:type="dxa" w:w="62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Israel, the faithful remnant, or the covenant Church — the community that bears the “man child.”</w:t>
            </w:r>
          </w:p>
        </w:tc>
      </w:tr>
      <w:tr>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The Dragon</w:t>
            </w:r>
          </w:p>
        </w:tc>
        <w:tc>
          <w:tcPr>
            <w:tcW w:type="dxa" w:w="62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Satan, explicitly identified in Revelation 12:9.</w:t>
            </w:r>
          </w:p>
        </w:tc>
      </w:tr>
      <w:tr>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The Man Child</w:t>
            </w:r>
          </w:p>
        </w:tc>
        <w:tc>
          <w:tcPr>
            <w:tcW w:type="dxa" w:w="62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Jesus Christ or the Kingdom of God, “caught up to God and His throne.”</w:t>
            </w:r>
          </w:p>
        </w:tc>
      </w:tr>
      <w:tr>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The Wilderness</w:t>
            </w:r>
          </w:p>
        </w:tc>
        <w:tc>
          <w:tcPr>
            <w:tcW w:type="dxa" w:w="62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A place of refuge, testing, and divine preservation.</w:t>
            </w:r>
          </w:p>
        </w:tc>
      </w:tr>
      <w:tr>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1,260 Days / Time, Times, and Half a Time</w:t>
            </w:r>
          </w:p>
        </w:tc>
        <w:tc>
          <w:tcPr>
            <w:tcW w:type="dxa" w:w="62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A bounded prophetic period of three and a half years.</w:t>
            </w:r>
          </w:p>
        </w:tc>
      </w:tr>
    </w:tbl>
    <w:p>
      <w:pPr>
        <w:pStyle w:val="Heading1"/>
        <w:spacing w:after="180" w:before="360"/>
        <w:jc w:val="left"/>
      </w:pPr>
      <w:r>
        <w:rPr>
          <w:rFonts w:ascii="Garamond" w:cs="Garamond" w:eastAsia="Garamond" w:hAnsi="Garamond"/>
          <w:b/>
          <w:bCs/>
          <w:sz w:val="32"/>
          <w:szCs w:val="32"/>
        </w:rPr>
        <w:t xml:space="preserve">II. The Three Expressions of the 1,260-Day Period</w:t>
      </w:r>
    </w:p>
    <w:p>
      <w:pPr>
        <w:spacing w:after="80" w:before="80" w:line="300"/>
        <w:jc w:val="both"/>
      </w:pPr>
      <w:r>
        <w:rPr>
          <w:rFonts w:ascii="Garamond" w:cs="Garamond" w:eastAsia="Garamond" w:hAnsi="Garamond"/>
          <w:sz w:val="24"/>
          <w:szCs w:val="24"/>
        </w:rPr>
        <w:t xml:space="preserve">The same span appears in Revelation under three different forms, each emphasizing a distinct dimension of what unfolds during it.</w:t>
      </w:r>
    </w:p>
    <w:p>
      <w:pPr>
        <w:pStyle w:val="Heading2"/>
        <w:spacing w:after="140" w:before="280"/>
      </w:pPr>
      <w:r>
        <w:rPr>
          <w:rFonts w:ascii="Garamond" w:cs="Garamond" w:eastAsia="Garamond" w:hAnsi="Garamond"/>
          <w:b/>
          <w:bCs/>
          <w:sz w:val="28"/>
          <w:szCs w:val="28"/>
        </w:rPr>
        <w:t xml:space="preserve">Calculation</w:t>
      </w:r>
    </w:p>
    <w:p>
      <w:pPr>
        <w:spacing w:after="80" w:before="80" w:line="300"/>
        <w:jc w:val="both"/>
      </w:pPr>
      <w:r>
        <w:rPr>
          <w:rFonts w:ascii="Garamond" w:cs="Garamond" w:eastAsia="Garamond" w:hAnsi="Garamond"/>
          <w:sz w:val="24"/>
          <w:szCs w:val="24"/>
        </w:rPr>
        <w:t xml:space="preserve">“A thousand two hundred and threescore” = 1,000 + 200 + 60 = 1,260 days. On the prophetic 30-day month, this equals 42 months or 3½ years.</w:t>
      </w:r>
    </w:p>
    <w:p>
      <w:pPr>
        <w:pStyle w:val="Heading2"/>
        <w:spacing w:after="140" w:before="280"/>
      </w:pPr>
      <w:r>
        <w:rPr>
          <w:rFonts w:ascii="Garamond" w:cs="Garamond" w:eastAsia="Garamond" w:hAnsi="Garamond"/>
          <w:b/>
          <w:bCs/>
          <w:sz w:val="28"/>
          <w:szCs w:val="28"/>
        </w:rPr>
        <w:t xml:space="preserve">One Period, Three Vantages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2600"/>
        <w:gridCol w:w="4160"/>
      </w:tblGrid>
      <w:tr>
        <w:trPr>
          <w:tblHeader/>
        </w:trPr>
        <w:tc>
          <w:tcPr>
            <w:tcW w:type="dxa" w:w="260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Expression</w:t>
            </w:r>
          </w:p>
        </w:tc>
        <w:tc>
          <w:tcPr>
            <w:tcW w:type="dxa" w:w="260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Reference</w:t>
            </w:r>
          </w:p>
        </w:tc>
        <w:tc>
          <w:tcPr>
            <w:tcW w:type="dxa" w:w="416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Emphasis</w:t>
            </w:r>
          </w:p>
        </w:tc>
      </w:tr>
      <w:tr>
        <w:tc>
          <w:tcPr>
            <w:tcW w:type="dxa" w:w="260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1,260 days</w:t>
            </w:r>
          </w:p>
        </w:tc>
        <w:tc>
          <w:tcPr>
            <w:tcW w:type="dxa" w:w="260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Rev. 11:3; 12:6</w:t>
            </w:r>
          </w:p>
        </w:tc>
        <w:tc>
          <w:tcPr>
            <w:tcW w:type="dxa" w:w="416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Prophetic witness; preservation of God's people</w:t>
            </w:r>
          </w:p>
        </w:tc>
      </w:tr>
      <w:tr>
        <w:tc>
          <w:tcPr>
            <w:tcW w:type="dxa" w:w="260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42 months</w:t>
            </w:r>
          </w:p>
        </w:tc>
        <w:tc>
          <w:tcPr>
            <w:tcW w:type="dxa" w:w="260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Rev. 11:2; 13:5</w:t>
            </w:r>
          </w:p>
        </w:tc>
        <w:tc>
          <w:tcPr>
            <w:tcW w:type="dxa" w:w="416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Political / ecclesiastical authority of the beast</w:t>
            </w:r>
          </w:p>
        </w:tc>
      </w:tr>
      <w:tr>
        <w:tc>
          <w:tcPr>
            <w:tcW w:type="dxa" w:w="260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Time, times, and half a time</w:t>
            </w:r>
          </w:p>
        </w:tc>
        <w:tc>
          <w:tcPr>
            <w:tcW w:type="dxa" w:w="260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Rev. 12:14</w:t>
            </w:r>
          </w:p>
        </w:tc>
        <w:tc>
          <w:tcPr>
            <w:tcW w:type="dxa" w:w="416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Spiritual protection of the woman</w:t>
            </w:r>
          </w:p>
        </w:tc>
      </w:tr>
    </w:tbl>
    <w:p>
      <w:pPr>
        <w:spacing w:after="80" w:before="80" w:line="300"/>
        <w:jc w:val="both"/>
      </w:pPr>
      <w:r>
        <w:rPr>
          <w:rFonts w:ascii="Garamond" w:cs="Garamond" w:eastAsia="Garamond" w:hAnsi="Garamond"/>
          <w:sz w:val="24"/>
          <w:szCs w:val="24"/>
        </w:rPr>
        <w:t xml:space="preserve">The “half” of seven is structurally incomplete — tribulation is real but truncated, cut short by divine intervention. All three expressions describe one duration viewed from three angles: rule, testimony, and refuge.</w:t>
      </w:r>
    </w:p>
    <w:p>
      <w:pPr>
        <w:pStyle w:val="Heading1"/>
        <w:spacing w:after="180" w:before="360"/>
        <w:jc w:val="left"/>
      </w:pPr>
      <w:r>
        <w:rPr>
          <w:rFonts w:ascii="Garamond" w:cs="Garamond" w:eastAsia="Garamond" w:hAnsi="Garamond"/>
          <w:b/>
          <w:bCs/>
          <w:sz w:val="32"/>
          <w:szCs w:val="32"/>
        </w:rPr>
        <w:t xml:space="preserve">III. Daniel's Prophetic Foundation</w:t>
      </w:r>
    </w:p>
    <w:p>
      <w:pPr>
        <w:spacing w:after="80" w:before="80" w:line="300"/>
        <w:jc w:val="both"/>
      </w:pPr>
      <w:r>
        <w:rPr>
          <w:rFonts w:ascii="Garamond" w:cs="Garamond" w:eastAsia="Garamond" w:hAnsi="Garamond"/>
          <w:sz w:val="24"/>
          <w:szCs w:val="24"/>
        </w:rPr>
        <w:t xml:space="preserve">Revelation does not invent the 3½-year figure. It inherits it directly from Daniel.</w:t>
      </w:r>
    </w:p>
    <w:p>
      <w:pPr>
        <w:pStyle w:val="Heading2"/>
        <w:spacing w:after="140" w:before="280"/>
      </w:pPr>
      <w:r>
        <w:rPr>
          <w:rFonts w:ascii="Garamond" w:cs="Garamond" w:eastAsia="Garamond" w:hAnsi="Garamond"/>
          <w:b/>
          <w:bCs/>
          <w:sz w:val="28"/>
          <w:szCs w:val="28"/>
        </w:rPr>
        <w:t xml:space="preserve">A. Daniel 7:25 — The Persecuting Power</w:t>
      </w:r>
    </w:p>
    <w:p>
      <w:pPr>
        <w:spacing w:after="120" w:before="120" w:line="280"/>
        <w:ind w:left="720" w:right="720"/>
        <w:jc w:val="both"/>
      </w:pPr>
      <w:r>
        <w:rPr>
          <w:rFonts w:ascii="Garamond" w:cs="Garamond" w:eastAsia="Garamond" w:hAnsi="Garamond"/>
          <w:i/>
          <w:iCs/>
          <w:sz w:val="22"/>
          <w:szCs w:val="22"/>
        </w:rPr>
        <w:t xml:space="preserve">“He shall speak great words against the most High, and shall wear out the saints of the most High, and think to change times and laws: and they shall be given into his hand until a time and times and the dividing of time.”</w:t>
      </w:r>
    </w:p>
    <w:p>
      <w:pPr>
        <w:pStyle w:val="ListParagraph"/>
        <w:numPr>
          <w:ilvl w:val="0"/>
          <w:numId w:val="2"/>
        </w:numPr>
        <w:spacing w:after="60" w:before="60" w:line="280"/>
      </w:pPr>
      <w:r>
        <w:rPr>
          <w:rFonts w:ascii="Garamond" w:cs="Garamond" w:eastAsia="Garamond" w:hAnsi="Garamond"/>
          <w:sz w:val="24"/>
          <w:szCs w:val="24"/>
        </w:rPr>
        <w:t xml:space="preserve">“Time” = 1 year</w:t>
      </w:r>
    </w:p>
    <w:p>
      <w:pPr>
        <w:pStyle w:val="ListParagraph"/>
        <w:numPr>
          <w:ilvl w:val="0"/>
          <w:numId w:val="2"/>
        </w:numPr>
        <w:spacing w:after="60" w:before="60" w:line="280"/>
      </w:pPr>
      <w:r>
        <w:rPr>
          <w:rFonts w:ascii="Garamond" w:cs="Garamond" w:eastAsia="Garamond" w:hAnsi="Garamond"/>
          <w:sz w:val="24"/>
          <w:szCs w:val="24"/>
        </w:rPr>
        <w:t xml:space="preserve">“Times” = 2 years</w:t>
      </w:r>
    </w:p>
    <w:p>
      <w:pPr>
        <w:pStyle w:val="ListParagraph"/>
        <w:numPr>
          <w:ilvl w:val="0"/>
          <w:numId w:val="2"/>
        </w:numPr>
        <w:spacing w:after="60" w:before="60" w:line="280"/>
      </w:pPr>
      <w:r>
        <w:rPr>
          <w:rFonts w:ascii="Garamond" w:cs="Garamond" w:eastAsia="Garamond" w:hAnsi="Garamond"/>
          <w:sz w:val="24"/>
          <w:szCs w:val="24"/>
        </w:rPr>
        <w:t xml:space="preserve">“Half a time” = ½ year</w:t>
      </w:r>
    </w:p>
    <w:p>
      <w:pPr>
        <w:pStyle w:val="ListParagraph"/>
        <w:numPr>
          <w:ilvl w:val="0"/>
          <w:numId w:val="2"/>
        </w:numPr>
        <w:spacing w:after="60" w:before="60" w:line="280"/>
      </w:pPr>
      <w:r>
        <w:rPr>
          <w:rFonts w:ascii="Garamond" w:cs="Garamond" w:eastAsia="Garamond" w:hAnsi="Garamond"/>
          <w:sz w:val="24"/>
          <w:szCs w:val="24"/>
        </w:rPr>
        <w:t xml:space="preserve">Total = 3½ years = 1,260 days = 42 months</w:t>
      </w:r>
    </w:p>
    <w:p>
      <w:pPr>
        <w:pStyle w:val="Heading2"/>
        <w:spacing w:after="140" w:before="280"/>
      </w:pPr>
      <w:r>
        <w:rPr>
          <w:rFonts w:ascii="Garamond" w:cs="Garamond" w:eastAsia="Garamond" w:hAnsi="Garamond"/>
          <w:b/>
          <w:bCs/>
          <w:sz w:val="28"/>
          <w:szCs w:val="28"/>
        </w:rPr>
        <w:t xml:space="preserve">B. Daniel 12:7 — The Bounded Tribulation</w:t>
      </w:r>
    </w:p>
    <w:p>
      <w:pPr>
        <w:spacing w:after="120" w:before="120" w:line="280"/>
        <w:ind w:left="720" w:right="720"/>
        <w:jc w:val="both"/>
      </w:pPr>
      <w:r>
        <w:rPr>
          <w:rFonts w:ascii="Garamond" w:cs="Garamond" w:eastAsia="Garamond" w:hAnsi="Garamond"/>
          <w:i/>
          <w:iCs/>
          <w:sz w:val="22"/>
          <w:szCs w:val="22"/>
        </w:rPr>
        <w:t xml:space="preserve">“…it shall be for a time, times, and half a time; and when he shall have accomplished to scatter the power of the holy people, all these things shall be finished.”</w:t>
      </w:r>
    </w:p>
    <w:p>
      <w:pPr>
        <w:spacing w:after="80" w:before="80" w:line="300"/>
        <w:jc w:val="both"/>
      </w:pPr>
      <w:r>
        <w:rPr>
          <w:rFonts w:ascii="Garamond" w:cs="Garamond" w:eastAsia="Garamond" w:hAnsi="Garamond"/>
          <w:sz w:val="24"/>
          <w:szCs w:val="24"/>
        </w:rPr>
        <w:t xml:space="preserve">This restates the figure with three emphases: tribulation upon God's people, divine control over its duration, and the certainty of deliverance when it ends.</w:t>
      </w:r>
    </w:p>
    <w:p>
      <w:pPr>
        <w:pStyle w:val="Heading2"/>
        <w:spacing w:after="140" w:before="280"/>
      </w:pPr>
      <w:r>
        <w:rPr>
          <w:rFonts w:ascii="Garamond" w:cs="Garamond" w:eastAsia="Garamond" w:hAnsi="Garamond"/>
          <w:b/>
          <w:bCs/>
          <w:sz w:val="28"/>
          <w:szCs w:val="28"/>
        </w:rPr>
        <w:t xml:space="preserve">C. Daniel 12:11 — The 1,290 Days</w:t>
      </w:r>
    </w:p>
    <w:p>
      <w:pPr>
        <w:spacing w:after="120" w:before="120" w:line="280"/>
        <w:ind w:left="720" w:right="720"/>
        <w:jc w:val="both"/>
      </w:pPr>
      <w:r>
        <w:rPr>
          <w:rFonts w:ascii="Garamond" w:cs="Garamond" w:eastAsia="Garamond" w:hAnsi="Garamond"/>
          <w:i/>
          <w:iCs/>
          <w:sz w:val="22"/>
          <w:szCs w:val="22"/>
        </w:rPr>
        <w:t xml:space="preserve">“And from the time that the daily sacrifice shall be taken away, and the abomination that maketh desolate set up, there shall be a thousand two hundred and ninety days.”</w:t>
      </w:r>
    </w:p>
    <w:p>
      <w:pPr>
        <w:spacing w:after="80" w:before="80" w:line="300"/>
        <w:jc w:val="both"/>
      </w:pPr>
      <w:r>
        <w:rPr>
          <w:rFonts w:ascii="Garamond" w:cs="Garamond" w:eastAsia="Garamond" w:hAnsi="Garamond"/>
          <w:sz w:val="24"/>
          <w:szCs w:val="24"/>
        </w:rPr>
        <w:t xml:space="preserve">This introduces a related but distinct countdown — 1,290 rather than 1,260 — measuring “from the removal of the daily” rather than the period of persecution itself.</w:t>
      </w:r>
    </w:p>
    <w:p>
      <w:pPr>
        <w:pStyle w:val="Heading2"/>
        <w:spacing w:after="140" w:before="280"/>
      </w:pPr>
      <w:r>
        <w:rPr>
          <w:rFonts w:ascii="Garamond" w:cs="Garamond" w:eastAsia="Garamond" w:hAnsi="Garamond"/>
          <w:b/>
          <w:bCs/>
          <w:sz w:val="28"/>
          <w:szCs w:val="28"/>
        </w:rPr>
        <w:t xml:space="preserve">D. Comparative Alignment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1560"/>
        <w:gridCol w:w="2520"/>
        <w:gridCol w:w="3720"/>
      </w:tblGrid>
      <w:tr>
        <w:trPr>
          <w:tblHeader/>
        </w:trPr>
        <w:tc>
          <w:tcPr>
            <w:tcW w:type="dxa" w:w="156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Daniel</w:t>
            </w:r>
          </w:p>
        </w:tc>
        <w:tc>
          <w:tcPr>
            <w:tcW w:type="dxa" w:w="156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Revelation</w:t>
            </w:r>
          </w:p>
        </w:tc>
        <w:tc>
          <w:tcPr>
            <w:tcW w:type="dxa" w:w="252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Duration</w:t>
            </w:r>
          </w:p>
        </w:tc>
        <w:tc>
          <w:tcPr>
            <w:tcW w:type="dxa" w:w="372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Meaning</w:t>
            </w:r>
          </w:p>
        </w:tc>
      </w:tr>
      <w:tr>
        <w:tc>
          <w:tcPr>
            <w:tcW w:type="dxa" w:w="156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7:25</w:t>
            </w:r>
          </w:p>
        </w:tc>
        <w:tc>
          <w:tcPr>
            <w:tcW w:type="dxa" w:w="156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13:5</w:t>
            </w:r>
          </w:p>
        </w:tc>
        <w:tc>
          <w:tcPr>
            <w:tcW w:type="dxa" w:w="25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3½ years</w:t>
            </w:r>
          </w:p>
        </w:tc>
        <w:tc>
          <w:tcPr>
            <w:tcW w:type="dxa" w:w="37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Authority of the persecuting power</w:t>
            </w:r>
          </w:p>
        </w:tc>
      </w:tr>
      <w:tr>
        <w:tc>
          <w:tcPr>
            <w:tcW w:type="dxa" w:w="156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12:7</w:t>
            </w:r>
          </w:p>
        </w:tc>
        <w:tc>
          <w:tcPr>
            <w:tcW w:type="dxa" w:w="156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12:14</w:t>
            </w:r>
          </w:p>
        </w:tc>
        <w:tc>
          <w:tcPr>
            <w:tcW w:type="dxa" w:w="25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“time, times, and half a time”</w:t>
            </w:r>
          </w:p>
        </w:tc>
        <w:tc>
          <w:tcPr>
            <w:tcW w:type="dxa" w:w="37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Persecution of God's people</w:t>
            </w:r>
          </w:p>
        </w:tc>
      </w:tr>
      <w:tr>
        <w:tc>
          <w:tcPr>
            <w:tcW w:type="dxa" w:w="156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9:27</w:t>
            </w:r>
          </w:p>
        </w:tc>
        <w:tc>
          <w:tcPr>
            <w:tcW w:type="dxa" w:w="156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11–13</w:t>
            </w:r>
          </w:p>
        </w:tc>
        <w:tc>
          <w:tcPr>
            <w:tcW w:type="dxa" w:w="25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Final 7 years split in halves</w:t>
            </w:r>
          </w:p>
        </w:tc>
        <w:tc>
          <w:tcPr>
            <w:tcW w:type="dxa" w:w="37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Covenant, desecration, tribulation</w:t>
            </w:r>
          </w:p>
        </w:tc>
      </w:tr>
      <w:tr>
        <w:tc>
          <w:tcPr>
            <w:tcW w:type="dxa" w:w="156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12:11</w:t>
            </w:r>
          </w:p>
        </w:tc>
        <w:tc>
          <w:tcPr>
            <w:tcW w:type="dxa" w:w="156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w:t>
            </w:r>
          </w:p>
        </w:tc>
        <w:tc>
          <w:tcPr>
            <w:tcW w:type="dxa" w:w="25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1,290 days</w:t>
            </w:r>
          </w:p>
        </w:tc>
        <w:tc>
          <w:tcPr>
            <w:tcW w:type="dxa" w:w="37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From the removal of the daily</w:t>
            </w:r>
          </w:p>
        </w:tc>
      </w:tr>
    </w:tbl>
    <w:p>
      <w:pPr>
        <w:spacing w:after="80" w:before="80" w:line="300"/>
        <w:jc w:val="both"/>
      </w:pPr>
      <w:r>
        <w:rPr>
          <w:rFonts w:ascii="Garamond" w:cs="Garamond" w:eastAsia="Garamond" w:hAnsi="Garamond"/>
          <w:sz w:val="24"/>
          <w:szCs w:val="24"/>
        </w:rPr>
        <w:t xml:space="preserve">The pattern is exact: Daniel establishes the structure; Revelation fills in the detail. Daniel 12:4 commands the prophecy to be “sealed”; Revelation 22:10 declares the parallel material now “unsealed.”</w:t>
      </w:r>
    </w:p>
    <w:p>
      <w:pPr>
        <w:pStyle w:val="Heading1"/>
        <w:spacing w:after="180" w:before="360"/>
        <w:jc w:val="left"/>
      </w:pPr>
      <w:r>
        <w:rPr>
          <w:rFonts w:ascii="Garamond" w:cs="Garamond" w:eastAsia="Garamond" w:hAnsi="Garamond"/>
          <w:b/>
          <w:bCs/>
          <w:sz w:val="32"/>
          <w:szCs w:val="32"/>
        </w:rPr>
        <w:t xml:space="preserve">IV. Daniel's Seventy Weeks and the Final Week</w:t>
      </w:r>
    </w:p>
    <w:p>
      <w:pPr>
        <w:pStyle w:val="Heading2"/>
        <w:spacing w:after="140" w:before="280"/>
      </w:pPr>
      <w:r>
        <w:rPr>
          <w:rFonts w:ascii="Garamond" w:cs="Garamond" w:eastAsia="Garamond" w:hAnsi="Garamond"/>
          <w:b/>
          <w:bCs/>
          <w:sz w:val="28"/>
          <w:szCs w:val="28"/>
        </w:rPr>
        <w:t xml:space="preserve">A. The 490-Year Decree</w:t>
      </w:r>
    </w:p>
    <w:p>
      <w:pPr>
        <w:spacing w:after="80" w:before="80" w:line="300"/>
        <w:jc w:val="both"/>
      </w:pPr>
      <w:r>
        <w:rPr>
          <w:rFonts w:ascii="Garamond" w:cs="Garamond" w:eastAsia="Garamond" w:hAnsi="Garamond"/>
          <w:sz w:val="24"/>
          <w:szCs w:val="24"/>
        </w:rPr>
        <w:t xml:space="preserve">Daniel 9:24–27 announces “Seventy weeks” — seventy “sevens” of years — “determined upon thy people and upon thy holy city.” Seventy times seven equals 490 years.</w:t>
      </w:r>
    </w:p>
    <w:p>
      <w:pPr>
        <w:pStyle w:val="Heading2"/>
        <w:spacing w:after="140" w:before="280"/>
      </w:pPr>
      <w:r>
        <w:rPr>
          <w:rFonts w:ascii="Garamond" w:cs="Garamond" w:eastAsia="Garamond" w:hAnsi="Garamond"/>
          <w:b/>
          <w:bCs/>
          <w:sz w:val="28"/>
          <w:szCs w:val="28"/>
        </w:rPr>
        <w:t xml:space="preserve">B. Three Segments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80"/>
        <w:gridCol w:w="2080"/>
        <w:gridCol w:w="5200"/>
      </w:tblGrid>
      <w:tr>
        <w:trPr>
          <w:tblHeader/>
        </w:trPr>
        <w:tc>
          <w:tcPr>
            <w:tcW w:type="dxa" w:w="208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Segment</w:t>
            </w:r>
          </w:p>
        </w:tc>
        <w:tc>
          <w:tcPr>
            <w:tcW w:type="dxa" w:w="208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Duration</w:t>
            </w:r>
          </w:p>
        </w:tc>
        <w:tc>
          <w:tcPr>
            <w:tcW w:type="dxa" w:w="520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Event</w:t>
            </w:r>
          </w:p>
        </w:tc>
      </w:tr>
      <w:tr>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7 weeks</w:t>
            </w:r>
          </w:p>
        </w:tc>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49 years</w:t>
            </w:r>
          </w:p>
        </w:tc>
        <w:tc>
          <w:tcPr>
            <w:tcW w:type="dxa" w:w="520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Jerusalem rebuilt after the exile</w:t>
            </w:r>
          </w:p>
        </w:tc>
      </w:tr>
      <w:tr>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62 weeks</w:t>
            </w:r>
          </w:p>
        </w:tc>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434 years</w:t>
            </w:r>
          </w:p>
        </w:tc>
        <w:tc>
          <w:tcPr>
            <w:tcW w:type="dxa" w:w="520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From the rebuilding to the coming of Messiah</w:t>
            </w:r>
          </w:p>
        </w:tc>
      </w:tr>
      <w:tr>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1 week</w:t>
            </w:r>
          </w:p>
        </w:tc>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7 years</w:t>
            </w:r>
          </w:p>
        </w:tc>
        <w:tc>
          <w:tcPr>
            <w:tcW w:type="dxa" w:w="520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Covenant confirmed, broken at the midpoint, tribulation unleashed</w:t>
            </w:r>
          </w:p>
        </w:tc>
      </w:tr>
    </w:tbl>
    <w:p>
      <w:pPr>
        <w:spacing w:after="80" w:before="80" w:line="300"/>
        <w:jc w:val="both"/>
      </w:pPr>
      <w:r>
        <w:rPr>
          <w:rFonts w:ascii="Garamond" w:cs="Garamond" w:eastAsia="Garamond" w:hAnsi="Garamond"/>
          <w:sz w:val="24"/>
          <w:szCs w:val="24"/>
        </w:rPr>
        <w:t xml:space="preserve">After the 69th week (7 + 62 = 69), “Messiah is cut off” (the crucifixion), and the prophetic clock pauses before the final week.</w:t>
      </w:r>
    </w:p>
    <w:p>
      <w:pPr>
        <w:pStyle w:val="Heading2"/>
        <w:spacing w:after="140" w:before="280"/>
      </w:pPr>
      <w:r>
        <w:rPr>
          <w:rFonts w:ascii="Garamond" w:cs="Garamond" w:eastAsia="Garamond" w:hAnsi="Garamond"/>
          <w:b/>
          <w:bCs/>
          <w:sz w:val="28"/>
          <w:szCs w:val="28"/>
        </w:rPr>
        <w:t xml:space="preserve">C. The 70th Week as Two Halves</w:t>
      </w:r>
    </w:p>
    <w:p>
      <w:pPr>
        <w:spacing w:after="80" w:before="80" w:line="300"/>
        <w:jc w:val="both"/>
      </w:pPr>
      <w:r>
        <w:rPr>
          <w:rFonts w:ascii="Garamond" w:cs="Garamond" w:eastAsia="Garamond" w:hAnsi="Garamond"/>
          <w:sz w:val="24"/>
          <w:szCs w:val="24"/>
        </w:rPr>
        <w:t xml:space="preserve">The final seven-year period — the Tribulation — divides into two equal halves of 1,260 days each.</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72"/>
        <w:gridCol w:w="1872"/>
        <w:gridCol w:w="5616"/>
      </w:tblGrid>
      <w:tr>
        <w:trPr>
          <w:tblHeader/>
        </w:trPr>
        <w:tc>
          <w:tcPr>
            <w:tcW w:type="dxa" w:w="1872"/>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Half</w:t>
            </w:r>
          </w:p>
        </w:tc>
        <w:tc>
          <w:tcPr>
            <w:tcW w:type="dxa" w:w="1872"/>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Duration</w:t>
            </w:r>
          </w:p>
        </w:tc>
        <w:tc>
          <w:tcPr>
            <w:tcW w:type="dxa" w:w="5616"/>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Events</w:t>
            </w:r>
          </w:p>
        </w:tc>
      </w:tr>
      <w:tr>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First half</w:t>
            </w:r>
          </w:p>
        </w:tc>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1,260 days</w:t>
            </w:r>
          </w:p>
        </w:tc>
        <w:tc>
          <w:tcPr>
            <w:tcW w:type="dxa" w:w="5616"/>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The “prince that shall come” confirms a covenant with Israel (Dan. 9:27a); deceptive peace; temple worship resumes.</w:t>
            </w:r>
          </w:p>
        </w:tc>
      </w:tr>
      <w:tr>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Midpoint</w:t>
            </w:r>
          </w:p>
        </w:tc>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w:t>
            </w:r>
          </w:p>
        </w:tc>
        <w:tc>
          <w:tcPr>
            <w:tcW w:type="dxa" w:w="5616"/>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The covenant is broken; the abomination of desolation is set up.</w:t>
            </w:r>
          </w:p>
        </w:tc>
      </w:tr>
      <w:tr>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Second half</w:t>
            </w:r>
          </w:p>
        </w:tc>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1,260 days</w:t>
            </w:r>
          </w:p>
        </w:tc>
        <w:tc>
          <w:tcPr>
            <w:tcW w:type="dxa" w:w="5616"/>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Great Tribulation; the woman flees to the wilderness; divine protection; ends with Christ's return.</w:t>
            </w:r>
          </w:p>
        </w:tc>
      </w:tr>
    </w:tbl>
    <w:p>
      <w:pPr>
        <w:spacing w:after="80" w:before="80" w:line="300"/>
        <w:jc w:val="both"/>
      </w:pPr>
      <w:r>
        <w:rPr>
          <w:rFonts w:ascii="Garamond" w:cs="Garamond" w:eastAsia="Garamond" w:hAnsi="Garamond"/>
          <w:sz w:val="24"/>
          <w:szCs w:val="24"/>
        </w:rPr>
        <w:t xml:space="preserve">The 1,260 days of Revelation thus correspond exactly to half of Daniel's final week.</w:t>
      </w:r>
    </w:p>
    <w:p>
      <w:r>
        <w:br w:type="page"/>
      </w:r>
    </w:p>
    <w:p>
      <w:pPr>
        <w:pStyle w:val="Heading1"/>
        <w:spacing w:after="240" w:before="480"/>
        <w:jc w:val="center"/>
      </w:pPr>
      <w:r>
        <w:rPr>
          <w:rFonts w:ascii="Garamond" w:cs="Garamond" w:eastAsia="Garamond" w:hAnsi="Garamond"/>
          <w:b/>
          <w:bCs/>
          <w:smallCaps/>
          <w:sz w:val="34"/>
          <w:szCs w:val="34"/>
        </w:rPr>
        <w:t xml:space="preserve">Part II — The Wilderness Typology</w:t>
      </w:r>
    </w:p>
    <w:p>
      <w:pPr>
        <w:pStyle w:val="Heading1"/>
        <w:spacing w:after="180" w:before="360"/>
        <w:jc w:val="left"/>
      </w:pPr>
      <w:r>
        <w:rPr>
          <w:rFonts w:ascii="Garamond" w:cs="Garamond" w:eastAsia="Garamond" w:hAnsi="Garamond"/>
          <w:b/>
          <w:bCs/>
          <w:sz w:val="32"/>
          <w:szCs w:val="32"/>
        </w:rPr>
        <w:t xml:space="preserve">V. The Wilderness Pattern Across Scripture</w:t>
      </w:r>
    </w:p>
    <w:p>
      <w:pPr>
        <w:spacing w:after="80" w:before="80" w:line="300"/>
        <w:jc w:val="both"/>
      </w:pPr>
      <w:r>
        <w:rPr>
          <w:rFonts w:ascii="Garamond" w:cs="Garamond" w:eastAsia="Garamond" w:hAnsi="Garamond"/>
          <w:sz w:val="24"/>
          <w:szCs w:val="24"/>
        </w:rPr>
        <w:t xml:space="preserve">The wilderness is, throughout the canon, a site of encounter, testing, and divine care — never simply emptiness.</w:t>
      </w:r>
    </w:p>
    <w:p>
      <w:pPr>
        <w:pStyle w:val="Heading2"/>
        <w:spacing w:after="140" w:before="280"/>
      </w:pPr>
      <w:r>
        <w:rPr>
          <w:rFonts w:ascii="Garamond" w:cs="Garamond" w:eastAsia="Garamond" w:hAnsi="Garamond"/>
          <w:b/>
          <w:bCs/>
          <w:sz w:val="28"/>
          <w:szCs w:val="28"/>
        </w:rPr>
        <w:t xml:space="preserve">A. Exodus — Eagles' Wings</w:t>
      </w:r>
    </w:p>
    <w:p>
      <w:pPr>
        <w:spacing w:after="80" w:before="80" w:line="300"/>
        <w:jc w:val="both"/>
      </w:pPr>
      <w:r>
        <w:rPr>
          <w:rFonts w:ascii="Garamond" w:cs="Garamond" w:eastAsia="Garamond" w:hAnsi="Garamond"/>
          <w:sz w:val="24"/>
          <w:szCs w:val="24"/>
        </w:rPr>
        <w:t xml:space="preserve">Exodus 19:4: “I bore you on eagles' wings and brought you to Myself.” Revelation 12:14 echoes the language directly: “to the woman were given two wings of a great eagle, that she might fly into the wilderness.” Israel was carried out of Pharaoh's reach into the wilderness for protection and transformation; the woman is carried into the wilderness for the same reason.</w:t>
      </w:r>
    </w:p>
    <w:p>
      <w:pPr>
        <w:pStyle w:val="Heading2"/>
        <w:spacing w:after="140" w:before="280"/>
      </w:pPr>
      <w:r>
        <w:rPr>
          <w:rFonts w:ascii="Garamond" w:cs="Garamond" w:eastAsia="Garamond" w:hAnsi="Garamond"/>
          <w:b/>
          <w:bCs/>
          <w:sz w:val="28"/>
          <w:szCs w:val="28"/>
        </w:rPr>
        <w:t xml:space="preserve">B. Hosea — The Wilderness of Betrothal</w:t>
      </w:r>
    </w:p>
    <w:p>
      <w:pPr>
        <w:spacing w:after="80" w:before="80" w:line="300"/>
        <w:jc w:val="both"/>
      </w:pPr>
      <w:r>
        <w:rPr>
          <w:rFonts w:ascii="Garamond" w:cs="Garamond" w:eastAsia="Garamond" w:hAnsi="Garamond"/>
          <w:sz w:val="24"/>
          <w:szCs w:val="24"/>
        </w:rPr>
        <w:t xml:space="preserve">Hosea 2:14–16: “I will allure her, and bring her into the wilderness, and speak comfortably unto her… thou shalt call Me Ishi [My Husband].” Here the wilderness is the place of restored covenant love — where the relationship is reborn rather than broken. Revelation 12 returns to the same image: pursued by the dragon (as Israel was by Pharaoh), the woman is drawn into the wilderness (as Hosea's bride was), and there she is provided for and protected.</w:t>
      </w:r>
    </w:p>
    <w:p>
      <w:pPr>
        <w:pStyle w:val="Heading2"/>
        <w:spacing w:after="140" w:before="280"/>
      </w:pPr>
      <w:r>
        <w:rPr>
          <w:rFonts w:ascii="Garamond" w:cs="Garamond" w:eastAsia="Garamond" w:hAnsi="Garamond"/>
          <w:b/>
          <w:bCs/>
          <w:sz w:val="28"/>
          <w:szCs w:val="28"/>
        </w:rPr>
        <w:t xml:space="preserve">C. The Pattern Across Scripture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3380"/>
        <w:gridCol w:w="3380"/>
      </w:tblGrid>
      <w:tr>
        <w:trPr>
          <w:tblHeader/>
        </w:trPr>
        <w:tc>
          <w:tcPr>
            <w:tcW w:type="dxa" w:w="260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Episode</w:t>
            </w:r>
          </w:p>
        </w:tc>
        <w:tc>
          <w:tcPr>
            <w:tcW w:type="dxa" w:w="338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Wilderness Role</w:t>
            </w:r>
          </w:p>
        </w:tc>
        <w:tc>
          <w:tcPr>
            <w:tcW w:type="dxa" w:w="338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Spiritual Meaning</w:t>
            </w:r>
          </w:p>
        </w:tc>
      </w:tr>
      <w:tr>
        <w:tc>
          <w:tcPr>
            <w:tcW w:type="dxa" w:w="260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Exodus</w:t>
            </w:r>
          </w:p>
        </w:tc>
        <w:tc>
          <w:tcPr>
            <w:tcW w:type="dxa" w:w="33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Refuge from Pharaoh</w:t>
            </w:r>
          </w:p>
        </w:tc>
        <w:tc>
          <w:tcPr>
            <w:tcW w:type="dxa" w:w="33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Deliverance and sustenance</w:t>
            </w:r>
          </w:p>
        </w:tc>
      </w:tr>
      <w:tr>
        <w:tc>
          <w:tcPr>
            <w:tcW w:type="dxa" w:w="260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Elijah (1 Kings 19)</w:t>
            </w:r>
          </w:p>
        </w:tc>
        <w:tc>
          <w:tcPr>
            <w:tcW w:type="dxa" w:w="33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Fled to the desert, fed by an angel</w:t>
            </w:r>
          </w:p>
        </w:tc>
        <w:tc>
          <w:tcPr>
            <w:tcW w:type="dxa" w:w="33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Divine provision in persecution</w:t>
            </w:r>
          </w:p>
        </w:tc>
      </w:tr>
      <w:tr>
        <w:tc>
          <w:tcPr>
            <w:tcW w:type="dxa" w:w="260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John the Baptist</w:t>
            </w:r>
          </w:p>
        </w:tc>
        <w:tc>
          <w:tcPr>
            <w:tcW w:type="dxa" w:w="33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Preached from the wilderness</w:t>
            </w:r>
          </w:p>
        </w:tc>
        <w:tc>
          <w:tcPr>
            <w:tcW w:type="dxa" w:w="33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Preparation for Messiah</w:t>
            </w:r>
          </w:p>
        </w:tc>
      </w:tr>
      <w:tr>
        <w:tc>
          <w:tcPr>
            <w:tcW w:type="dxa" w:w="260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Jesus (Matt. 4)</w:t>
            </w:r>
          </w:p>
        </w:tc>
        <w:tc>
          <w:tcPr>
            <w:tcW w:type="dxa" w:w="33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Tempted forty days</w:t>
            </w:r>
          </w:p>
        </w:tc>
        <w:tc>
          <w:tcPr>
            <w:tcW w:type="dxa" w:w="33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Victory where Israel had failed</w:t>
            </w:r>
          </w:p>
        </w:tc>
      </w:tr>
      <w:tr>
        <w:tc>
          <w:tcPr>
            <w:tcW w:type="dxa" w:w="260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Revelation 12 woman</w:t>
            </w:r>
          </w:p>
        </w:tc>
        <w:tc>
          <w:tcPr>
            <w:tcW w:type="dxa" w:w="33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Flees for 1,260 days</w:t>
            </w:r>
          </w:p>
        </w:tc>
        <w:tc>
          <w:tcPr>
            <w:tcW w:type="dxa" w:w="33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Preservation of the faithful remnant</w:t>
            </w:r>
          </w:p>
        </w:tc>
      </w:tr>
    </w:tbl>
    <w:p>
      <w:pPr>
        <w:spacing w:after="80" w:before="80" w:line="300"/>
        <w:jc w:val="both"/>
      </w:pPr>
      <w:r>
        <w:rPr>
          <w:rFonts w:ascii="Garamond" w:cs="Garamond" w:eastAsia="Garamond" w:hAnsi="Garamond"/>
          <w:sz w:val="24"/>
          <w:szCs w:val="24"/>
        </w:rPr>
        <w:t xml:space="preserve">Every wilderness moment in Scripture points to divine intimacy under pressure — the hidden place where God nourishes, speaks, and strengthens His people.</w:t>
      </w:r>
    </w:p>
    <w:p>
      <w:pPr>
        <w:pStyle w:val="Heading2"/>
        <w:spacing w:after="140" w:before="280"/>
      </w:pPr>
      <w:r>
        <w:rPr>
          <w:rFonts w:ascii="Garamond" w:cs="Garamond" w:eastAsia="Garamond" w:hAnsi="Garamond"/>
          <w:b/>
          <w:bCs/>
          <w:sz w:val="28"/>
          <w:szCs w:val="28"/>
        </w:rPr>
        <w:t xml:space="preserve">D. The Wilderness as Grace, Not Rejection</w:t>
      </w:r>
    </w:p>
    <w:p>
      <w:pPr>
        <w:pStyle w:val="ListParagraph"/>
        <w:numPr>
          <w:ilvl w:val="0"/>
          <w:numId w:val="2"/>
        </w:numPr>
        <w:spacing w:after="60" w:before="60" w:line="280"/>
      </w:pPr>
      <w:r>
        <w:rPr>
          <w:rFonts w:ascii="Garamond" w:cs="Garamond" w:eastAsia="Garamond" w:hAnsi="Garamond"/>
          <w:sz w:val="24"/>
          <w:szCs w:val="24"/>
        </w:rPr>
        <w:t xml:space="preserve">The wilderness is protection, not abandonment — separation from the world's corruption for the sake of purification.</w:t>
      </w:r>
    </w:p>
    <w:p>
      <w:pPr>
        <w:pStyle w:val="ListParagraph"/>
        <w:numPr>
          <w:ilvl w:val="0"/>
          <w:numId w:val="2"/>
        </w:numPr>
        <w:spacing w:after="60" w:before="60" w:line="280"/>
      </w:pPr>
      <w:r>
        <w:rPr>
          <w:rFonts w:ascii="Garamond" w:cs="Garamond" w:eastAsia="Garamond" w:hAnsi="Garamond"/>
          <w:sz w:val="24"/>
          <w:szCs w:val="24"/>
        </w:rPr>
        <w:t xml:space="preserve">God prepares both the place and the time: Revelation 12:6 specifies “her place, prepared of God.”</w:t>
      </w:r>
    </w:p>
    <w:p>
      <w:pPr>
        <w:pStyle w:val="ListParagraph"/>
        <w:numPr>
          <w:ilvl w:val="0"/>
          <w:numId w:val="2"/>
        </w:numPr>
        <w:spacing w:after="60" w:before="60" w:line="280"/>
      </w:pPr>
      <w:r>
        <w:rPr>
          <w:rFonts w:ascii="Garamond" w:cs="Garamond" w:eastAsia="Garamond" w:hAnsi="Garamond"/>
          <w:sz w:val="24"/>
          <w:szCs w:val="24"/>
        </w:rPr>
        <w:t xml:space="preserve">The pattern anticipates an end-time Exodus: as God called His people out of Egypt before judging Pharaoh, so He preserves a remnant before final judgment.</w:t>
      </w:r>
    </w:p>
    <w:p>
      <w:pPr>
        <w:pStyle w:val="ListParagraph"/>
        <w:numPr>
          <w:ilvl w:val="0"/>
          <w:numId w:val="2"/>
        </w:numPr>
        <w:spacing w:after="60" w:before="60" w:line="280"/>
      </w:pPr>
      <w:r>
        <w:rPr>
          <w:rFonts w:ascii="Garamond" w:cs="Garamond" w:eastAsia="Garamond" w:hAnsi="Garamond"/>
          <w:sz w:val="24"/>
          <w:szCs w:val="24"/>
        </w:rPr>
        <w:t xml:space="preserve">The motif culminates in the marriage supper of the Lamb (Revelation 19) — the betrothal Hosea promised, completed.</w:t>
      </w:r>
    </w:p>
    <w:p>
      <w:pPr>
        <w:pStyle w:val="Heading1"/>
        <w:spacing w:after="180" w:before="360"/>
        <w:jc w:val="left"/>
      </w:pPr>
      <w:r>
        <w:rPr>
          <w:rFonts w:ascii="Garamond" w:cs="Garamond" w:eastAsia="Garamond" w:hAnsi="Garamond"/>
          <w:b/>
          <w:bCs/>
          <w:sz w:val="32"/>
          <w:szCs w:val="32"/>
        </w:rPr>
        <w:t xml:space="preserve">VI. Three Interpretive Streams</w:t>
      </w:r>
    </w:p>
    <w:p>
      <w:pPr>
        <w:pStyle w:val="Heading2"/>
        <w:spacing w:after="140" w:before="280"/>
      </w:pPr>
      <w:r>
        <w:rPr>
          <w:rFonts w:ascii="Garamond" w:cs="Garamond" w:eastAsia="Garamond" w:hAnsi="Garamond"/>
          <w:b/>
          <w:bCs/>
          <w:sz w:val="28"/>
          <w:szCs w:val="28"/>
        </w:rPr>
        <w:t xml:space="preserve">A. Historicist / Prophetic</w:t>
      </w:r>
    </w:p>
    <w:p>
      <w:pPr>
        <w:spacing w:after="80" w:before="80" w:line="300"/>
        <w:jc w:val="both"/>
      </w:pPr>
      <w:r>
        <w:rPr>
          <w:rFonts w:ascii="Garamond" w:cs="Garamond" w:eastAsia="Garamond" w:hAnsi="Garamond"/>
          <w:sz w:val="24"/>
          <w:szCs w:val="24"/>
        </w:rPr>
        <w:t xml:space="preserve">The woman is the true Church across history, especially during the long persecutions of the Roman and medieval periods. The wilderness is spiritual isolation and divine preservation. The 1,260 days are read as 1,260 years under the day-for-a-year principle.</w:t>
      </w:r>
    </w:p>
    <w:p>
      <w:pPr>
        <w:pStyle w:val="Heading2"/>
        <w:spacing w:after="140" w:before="280"/>
      </w:pPr>
      <w:r>
        <w:rPr>
          <w:rFonts w:ascii="Garamond" w:cs="Garamond" w:eastAsia="Garamond" w:hAnsi="Garamond"/>
          <w:b/>
          <w:bCs/>
          <w:sz w:val="28"/>
          <w:szCs w:val="28"/>
        </w:rPr>
        <w:t xml:space="preserve">B. Futurist / End-Time</w:t>
      </w:r>
    </w:p>
    <w:p>
      <w:pPr>
        <w:spacing w:after="80" w:before="80" w:line="300"/>
        <w:jc w:val="both"/>
      </w:pPr>
      <w:r>
        <w:rPr>
          <w:rFonts w:ascii="Garamond" w:cs="Garamond" w:eastAsia="Garamond" w:hAnsi="Garamond"/>
          <w:sz w:val="24"/>
          <w:szCs w:val="24"/>
        </w:rPr>
        <w:t xml:space="preserve">The woman is Israel; her flight occurs during the Great Tribulation after the Antichrist breaks his covenant. The wilderness may be a literal place of protection (some have proposed Petra in Jordan). The 1,260 days are a literal three and a half years before Christ's return.</w:t>
      </w:r>
    </w:p>
    <w:p>
      <w:pPr>
        <w:pStyle w:val="Heading2"/>
        <w:spacing w:after="140" w:before="280"/>
      </w:pPr>
      <w:r>
        <w:rPr>
          <w:rFonts w:ascii="Garamond" w:cs="Garamond" w:eastAsia="Garamond" w:hAnsi="Garamond"/>
          <w:b/>
          <w:bCs/>
          <w:sz w:val="28"/>
          <w:szCs w:val="28"/>
        </w:rPr>
        <w:t xml:space="preserve">C. Spiritual / Symbolic</w:t>
      </w:r>
    </w:p>
    <w:p>
      <w:pPr>
        <w:spacing w:after="80" w:before="80" w:line="300"/>
        <w:jc w:val="both"/>
      </w:pPr>
      <w:r>
        <w:rPr>
          <w:rFonts w:ascii="Garamond" w:cs="Garamond" w:eastAsia="Garamond" w:hAnsi="Garamond"/>
          <w:sz w:val="24"/>
          <w:szCs w:val="24"/>
        </w:rPr>
        <w:t xml:space="preserve">The wilderness represents the soul's journey of faith and dependence — withdrawal from worldly systems into divine formation, purity, and endurance. The duration is not a calendar but a spiritual condition.</w:t>
      </w:r>
    </w:p>
    <w:p>
      <w:r>
        <w:br w:type="page"/>
      </w:r>
    </w:p>
    <w:p>
      <w:pPr>
        <w:pStyle w:val="Heading1"/>
        <w:spacing w:after="240" w:before="480"/>
        <w:jc w:val="center"/>
      </w:pPr>
      <w:r>
        <w:rPr>
          <w:rFonts w:ascii="Garamond" w:cs="Garamond" w:eastAsia="Garamond" w:hAnsi="Garamond"/>
          <w:b/>
          <w:bCs/>
          <w:smallCaps/>
          <w:sz w:val="34"/>
          <w:szCs w:val="34"/>
        </w:rPr>
        <w:t xml:space="preserve">Part III — The Historicist Reading</w:t>
      </w:r>
    </w:p>
    <w:p>
      <w:pPr>
        <w:pStyle w:val="Heading1"/>
        <w:spacing w:after="180" w:before="360"/>
        <w:jc w:val="left"/>
      </w:pPr>
      <w:r>
        <w:rPr>
          <w:rFonts w:ascii="Garamond" w:cs="Garamond" w:eastAsia="Garamond" w:hAnsi="Garamond"/>
          <w:b/>
          <w:bCs/>
          <w:sz w:val="32"/>
          <w:szCs w:val="32"/>
        </w:rPr>
        <w:t xml:space="preserve">VII. The Day-for-a-Year Principle</w:t>
      </w:r>
    </w:p>
    <w:p>
      <w:pPr>
        <w:pStyle w:val="Heading2"/>
        <w:spacing w:after="140" w:before="280"/>
      </w:pPr>
      <w:r>
        <w:rPr>
          <w:rFonts w:ascii="Garamond" w:cs="Garamond" w:eastAsia="Garamond" w:hAnsi="Garamond"/>
          <w:b/>
          <w:bCs/>
          <w:sz w:val="28"/>
          <w:szCs w:val="28"/>
        </w:rPr>
        <w:t xml:space="preserve">A. Scriptural Basis</w:t>
      </w:r>
    </w:p>
    <w:p>
      <w:pPr>
        <w:pStyle w:val="ListParagraph"/>
        <w:numPr>
          <w:ilvl w:val="0"/>
          <w:numId w:val="2"/>
        </w:numPr>
        <w:spacing w:after="60" w:before="60" w:line="280"/>
      </w:pPr>
      <w:r>
        <w:rPr>
          <w:rFonts w:ascii="Garamond" w:cs="Garamond" w:eastAsia="Garamond" w:hAnsi="Garamond"/>
          <w:sz w:val="24"/>
          <w:szCs w:val="24"/>
        </w:rPr>
        <w:t xml:space="preserve">Ezekiel 4:6 — “I have appointed thee each day for a year.”</w:t>
      </w:r>
    </w:p>
    <w:p>
      <w:pPr>
        <w:pStyle w:val="ListParagraph"/>
        <w:numPr>
          <w:ilvl w:val="0"/>
          <w:numId w:val="2"/>
        </w:numPr>
        <w:spacing w:after="60" w:before="60" w:line="280"/>
      </w:pPr>
      <w:r>
        <w:rPr>
          <w:rFonts w:ascii="Garamond" w:cs="Garamond" w:eastAsia="Garamond" w:hAnsi="Garamond"/>
          <w:sz w:val="24"/>
          <w:szCs w:val="24"/>
        </w:rPr>
        <w:t xml:space="preserve">Numbers 14:34 — “After the number of the days in which ye searched the land, even forty days, each day for a year…”</w:t>
      </w:r>
    </w:p>
    <w:p>
      <w:pPr>
        <w:spacing w:after="80" w:before="80" w:line="300"/>
        <w:jc w:val="both"/>
      </w:pPr>
      <w:r>
        <w:rPr>
          <w:rFonts w:ascii="Garamond" w:cs="Garamond" w:eastAsia="Garamond" w:hAnsi="Garamond"/>
          <w:sz w:val="24"/>
          <w:szCs w:val="24"/>
        </w:rPr>
        <w:t xml:space="preserve">Under this rule, 1 prophetic day = 1 literal year in symbolic timelines. Applied to Revelation 12, the woman's wilderness sojourn becomes a 1,260-year period during which the faithful are preserved while a corrupt system holds visible power.</w:t>
      </w:r>
    </w:p>
    <w:p>
      <w:pPr>
        <w:pStyle w:val="Heading2"/>
        <w:spacing w:after="140" w:before="280"/>
      </w:pPr>
      <w:r>
        <w:rPr>
          <w:rFonts w:ascii="Garamond" w:cs="Garamond" w:eastAsia="Garamond" w:hAnsi="Garamond"/>
          <w:b/>
          <w:bCs/>
          <w:sz w:val="28"/>
          <w:szCs w:val="28"/>
        </w:rPr>
        <w:t xml:space="preserve">B. A Note on “A Day Is As a Thousand Years”</w:t>
      </w:r>
    </w:p>
    <w:p>
      <w:pPr>
        <w:spacing w:after="80" w:before="80" w:line="300"/>
        <w:jc w:val="both"/>
      </w:pPr>
      <w:r>
        <w:rPr>
          <w:rFonts w:ascii="Garamond" w:cs="Garamond" w:eastAsia="Garamond" w:hAnsi="Garamond"/>
          <w:sz w:val="24"/>
          <w:szCs w:val="24"/>
        </w:rPr>
        <w:t xml:space="preserve">Psalm 90:4 and 2 Peter 3:8 (“With the Lord one day is as a thousand years”) express God's transcendence of time. They are not the same as the prophetic day-year rule, but they share the conviction that God's timing is exact, whether measured in literal or symbolic units.</w:t>
      </w:r>
    </w:p>
    <w:p>
      <w:pPr>
        <w:pStyle w:val="Heading1"/>
        <w:spacing w:after="180" w:before="360"/>
        <w:jc w:val="left"/>
      </w:pPr>
      <w:r>
        <w:rPr>
          <w:rFonts w:ascii="Garamond" w:cs="Garamond" w:eastAsia="Garamond" w:hAnsi="Garamond"/>
          <w:b/>
          <w:bCs/>
          <w:sz w:val="32"/>
          <w:szCs w:val="32"/>
        </w:rPr>
        <w:t xml:space="preserve">VIII. Three Historicist Date-Chains — A Comparative Survey</w:t>
      </w:r>
    </w:p>
    <w:p>
      <w:pPr>
        <w:spacing w:after="80" w:before="80" w:line="300"/>
        <w:jc w:val="both"/>
      </w:pPr>
      <w:r>
        <w:rPr>
          <w:rFonts w:ascii="Garamond" w:cs="Garamond" w:eastAsia="Garamond" w:hAnsi="Garamond"/>
          <w:sz w:val="24"/>
          <w:szCs w:val="24"/>
        </w:rPr>
        <w:t xml:space="preserve">The historicist tradition has produced multiple ways of anchoring the 1,260 (and 1,290) years to actual dates. Three are worth examining side-by-side.</w:t>
      </w:r>
    </w:p>
    <w:p>
      <w:pPr>
        <w:pStyle w:val="Heading2"/>
        <w:spacing w:after="140" w:before="280"/>
      </w:pPr>
      <w:r>
        <w:rPr>
          <w:rFonts w:ascii="Garamond" w:cs="Garamond" w:eastAsia="Garamond" w:hAnsi="Garamond"/>
          <w:b/>
          <w:bCs/>
          <w:sz w:val="28"/>
          <w:szCs w:val="28"/>
        </w:rPr>
        <w:t xml:space="preserve">A. The Classical Chain — 538 → 1798 (1,260 Years)</w:t>
      </w:r>
    </w:p>
    <w:p>
      <w:pPr>
        <w:spacing w:after="80" w:before="80" w:line="300"/>
        <w:jc w:val="both"/>
      </w:pPr>
      <w:r>
        <w:rPr>
          <w:rFonts w:ascii="Garamond" w:cs="Garamond" w:eastAsia="Garamond" w:hAnsi="Garamond"/>
          <w:sz w:val="24"/>
          <w:szCs w:val="24"/>
        </w:rPr>
        <w:t xml:space="preserve">The most common historicist span:</w:t>
      </w:r>
    </w:p>
    <w:p>
      <w:pPr>
        <w:pStyle w:val="ListParagraph"/>
        <w:numPr>
          <w:ilvl w:val="0"/>
          <w:numId w:val="2"/>
        </w:numPr>
        <w:spacing w:after="60" w:before="60" w:line="280"/>
      </w:pPr>
      <w:r>
        <w:rPr>
          <w:rFonts w:ascii="Garamond" w:cs="Garamond" w:eastAsia="Garamond" w:hAnsi="Garamond"/>
          <w:sz w:val="24"/>
          <w:szCs w:val="24"/>
        </w:rPr>
        <w:t xml:space="preserve">538 A.D. — Under Justinian's decrees and the withdrawal of the Ostrogoths from Rome, the bishop of Rome assumes effective civil and religious supremacy.</w:t>
      </w:r>
    </w:p>
    <w:p>
      <w:pPr>
        <w:pStyle w:val="ListParagraph"/>
        <w:numPr>
          <w:ilvl w:val="0"/>
          <w:numId w:val="2"/>
        </w:numPr>
        <w:spacing w:after="60" w:before="60" w:line="280"/>
      </w:pPr>
      <w:r>
        <w:rPr>
          <w:rFonts w:ascii="Garamond" w:cs="Garamond" w:eastAsia="Garamond" w:hAnsi="Garamond"/>
          <w:sz w:val="24"/>
          <w:szCs w:val="24"/>
        </w:rPr>
        <w:t xml:space="preserve">1798 A.D. — Napoleon's general Berthier captures the Pope, ending papal political rule. Read as the “deadly wound” given to the beast (Rev. 13:3).</w:t>
      </w:r>
    </w:p>
    <w:p>
      <w:pPr>
        <w:spacing w:after="80" w:before="80" w:line="300"/>
        <w:jc w:val="both"/>
      </w:pPr>
      <w:r>
        <w:rPr>
          <w:rFonts w:ascii="Garamond" w:cs="Garamond" w:eastAsia="Garamond" w:hAnsi="Garamond"/>
          <w:sz w:val="24"/>
          <w:szCs w:val="24"/>
        </w:rPr>
        <w:t xml:space="preserve">Between these dates falls exactly 1,260 years. This is the standard span in classical Adventist and Reformation-era historicism.</w:t>
      </w:r>
    </w:p>
    <w:p>
      <w:pPr>
        <w:pStyle w:val="Heading2"/>
        <w:spacing w:after="140" w:before="280"/>
      </w:pPr>
      <w:r>
        <w:rPr>
          <w:rFonts w:ascii="Garamond" w:cs="Garamond" w:eastAsia="Garamond" w:hAnsi="Garamond"/>
          <w:b/>
          <w:bCs/>
          <w:sz w:val="28"/>
          <w:szCs w:val="28"/>
        </w:rPr>
        <w:t xml:space="preserve">B. The Daniel-12 Chain — 539 → 1829 (1,290 Years)</w:t>
      </w:r>
    </w:p>
    <w:p>
      <w:pPr>
        <w:spacing w:after="80" w:before="80" w:line="300"/>
        <w:jc w:val="both"/>
      </w:pPr>
      <w:r>
        <w:rPr>
          <w:rFonts w:ascii="Garamond" w:cs="Garamond" w:eastAsia="Garamond" w:hAnsi="Garamond"/>
          <w:sz w:val="24"/>
          <w:szCs w:val="24"/>
        </w:rPr>
        <w:t xml:space="preserve">A second path uses Daniel 12:11's 1,290 rather than the 1,260:</w:t>
      </w:r>
    </w:p>
    <w:p>
      <w:pPr>
        <w:pStyle w:val="ListParagraph"/>
        <w:numPr>
          <w:ilvl w:val="0"/>
          <w:numId w:val="2"/>
        </w:numPr>
        <w:spacing w:after="60" w:before="60" w:line="280"/>
      </w:pPr>
      <w:r>
        <w:rPr>
          <w:rFonts w:ascii="Garamond" w:cs="Garamond" w:eastAsia="Garamond" w:hAnsi="Garamond"/>
          <w:sz w:val="24"/>
          <w:szCs w:val="24"/>
        </w:rPr>
        <w:t xml:space="preserve">539 A.D. — A variant anchor near the Justinianic settlement.</w:t>
      </w:r>
    </w:p>
    <w:p>
      <w:pPr>
        <w:pStyle w:val="ListParagraph"/>
        <w:numPr>
          <w:ilvl w:val="0"/>
          <w:numId w:val="2"/>
        </w:numPr>
        <w:spacing w:after="60" w:before="60" w:line="280"/>
      </w:pPr>
      <w:r>
        <w:rPr>
          <w:rFonts w:ascii="Garamond" w:cs="Garamond" w:eastAsia="Garamond" w:hAnsi="Garamond"/>
          <w:sz w:val="24"/>
          <w:szCs w:val="24"/>
        </w:rPr>
        <w:t xml:space="preserve">1829 A.D. — The Roman Catholic Relief Act (“Catholic Emancipation”) in Britain and Ireland.</w:t>
      </w:r>
    </w:p>
    <w:p>
      <w:pPr>
        <w:spacing w:after="80" w:before="80" w:line="300"/>
        <w:jc w:val="both"/>
      </w:pPr>
      <w:r>
        <w:rPr>
          <w:rFonts w:ascii="Garamond" w:cs="Garamond" w:eastAsia="Garamond" w:hAnsi="Garamond"/>
          <w:sz w:val="24"/>
          <w:szCs w:val="24"/>
        </w:rPr>
        <w:t xml:space="preserve">This chain treats 1829 as the prophetic marker and views 1830 as a closely adjacent restoration moment.</w:t>
      </w:r>
    </w:p>
    <w:p>
      <w:pPr>
        <w:pStyle w:val="Heading2"/>
        <w:spacing w:after="140" w:before="280"/>
      </w:pPr>
      <w:r>
        <w:rPr>
          <w:rFonts w:ascii="Garamond" w:cs="Garamond" w:eastAsia="Garamond" w:hAnsi="Garamond"/>
          <w:b/>
          <w:bCs/>
          <w:sz w:val="28"/>
          <w:szCs w:val="28"/>
        </w:rPr>
        <w:t xml:space="preserve">C. The Restorationist Chain — 721 BC → 570 → 1830</w:t>
      </w:r>
    </w:p>
    <w:p>
      <w:pPr>
        <w:spacing w:after="80" w:before="80" w:line="300"/>
        <w:jc w:val="both"/>
      </w:pPr>
      <w:r>
        <w:rPr>
          <w:rFonts w:ascii="Garamond" w:cs="Garamond" w:eastAsia="Garamond" w:hAnsi="Garamond"/>
          <w:sz w:val="24"/>
          <w:szCs w:val="24"/>
        </w:rPr>
        <w:t xml:space="preserve">A third construction, reported in restorationist literature, layers two countdowns: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72"/>
        <w:gridCol w:w="1872"/>
        <w:gridCol w:w="1872"/>
        <w:gridCol w:w="3744"/>
      </w:tblGrid>
      <w:tr>
        <w:trPr>
          <w:tblHeader/>
        </w:trPr>
        <w:tc>
          <w:tcPr>
            <w:tcW w:type="dxa" w:w="1872"/>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Stage</w:t>
            </w:r>
          </w:p>
        </w:tc>
        <w:tc>
          <w:tcPr>
            <w:tcW w:type="dxa" w:w="1872"/>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Duration</w:t>
            </w:r>
          </w:p>
        </w:tc>
        <w:tc>
          <w:tcPr>
            <w:tcW w:type="dxa" w:w="1872"/>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Source</w:t>
            </w:r>
          </w:p>
        </w:tc>
        <w:tc>
          <w:tcPr>
            <w:tcW w:type="dxa" w:w="3744"/>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Anchor</w:t>
            </w:r>
          </w:p>
        </w:tc>
      </w:tr>
      <w:tr>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721 B.C. → 570 A.D.</w:t>
            </w:r>
          </w:p>
        </w:tc>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1,290 years</w:t>
            </w:r>
          </w:p>
        </w:tc>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Daniel 12:11</w:t>
            </w:r>
          </w:p>
        </w:tc>
        <w:tc>
          <w:tcPr>
            <w:tcW w:type="dxa" w:w="3744"/>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Fall of the Northern Kingdom of Israel (Samaria) → rise of post-apostolic creedal/imperial religion (commonly tied to the birth of Muhammad in 570 A.D.)</w:t>
            </w:r>
          </w:p>
        </w:tc>
      </w:tr>
      <w:tr>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570 A.D. → 1830 A.D.</w:t>
            </w:r>
          </w:p>
        </w:tc>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1,260 years</w:t>
            </w:r>
          </w:p>
        </w:tc>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Daniel 7:25 / Rev. 12:6</w:t>
            </w:r>
          </w:p>
        </w:tc>
        <w:tc>
          <w:tcPr>
            <w:tcW w:type="dxa" w:w="3744"/>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“Time, times, and half a time” — the church-in-the-wilderness era</w:t>
            </w:r>
          </w:p>
        </w:tc>
      </w:tr>
      <w:tr>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1830 A.D.</w:t>
            </w:r>
          </w:p>
        </w:tc>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w:t>
            </w:r>
          </w:p>
        </w:tc>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w:t>
            </w:r>
          </w:p>
        </w:tc>
        <w:tc>
          <w:tcPr>
            <w:tcW w:type="dxa" w:w="3744"/>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Restoration: woman emerges from the wilderness</w:t>
            </w:r>
          </w:p>
        </w:tc>
      </w:tr>
    </w:tbl>
    <w:p>
      <w:pPr>
        <w:spacing w:after="80" w:before="80" w:line="300"/>
        <w:jc w:val="both"/>
      </w:pPr>
      <w:r>
        <w:rPr>
          <w:rFonts w:ascii="Garamond" w:cs="Garamond" w:eastAsia="Garamond" w:hAnsi="Garamond"/>
          <w:sz w:val="24"/>
          <w:szCs w:val="24"/>
        </w:rPr>
        <w:t xml:space="preserve">Arithmetic note (handling the no-year-zero convention): 721 BCE → 1 BCE = 720 years; +1 (to 1 CE); +569 = 570 CE. Then 570 + 1,260 = 1830.</w:t>
      </w:r>
    </w:p>
    <w:p>
      <w:pPr>
        <w:pStyle w:val="Heading2"/>
        <w:spacing w:after="140" w:before="280"/>
      </w:pPr>
      <w:r>
        <w:rPr>
          <w:rFonts w:ascii="Garamond" w:cs="Garamond" w:eastAsia="Garamond" w:hAnsi="Garamond"/>
          <w:b/>
          <w:bCs/>
          <w:sz w:val="28"/>
          <w:szCs w:val="28"/>
        </w:rPr>
        <w:t xml:space="preserve">D. Comparative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1872"/>
        <w:gridCol w:w="1872"/>
        <w:gridCol w:w="1872"/>
        <w:gridCol w:w="2184"/>
      </w:tblGrid>
      <w:tr>
        <w:trPr>
          <w:tblHeader/>
        </w:trPr>
        <w:tc>
          <w:tcPr>
            <w:tcW w:type="dxa" w:w="156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Chain</w:t>
            </w:r>
          </w:p>
        </w:tc>
        <w:tc>
          <w:tcPr>
            <w:tcW w:type="dxa" w:w="1872"/>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Span</w:t>
            </w:r>
          </w:p>
        </w:tc>
        <w:tc>
          <w:tcPr>
            <w:tcW w:type="dxa" w:w="1872"/>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Anchor (Start)</w:t>
            </w:r>
          </w:p>
        </w:tc>
        <w:tc>
          <w:tcPr>
            <w:tcW w:type="dxa" w:w="1872"/>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Anchor (End)</w:t>
            </w:r>
          </w:p>
        </w:tc>
        <w:tc>
          <w:tcPr>
            <w:tcW w:type="dxa" w:w="2184"/>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Tradition</w:t>
            </w:r>
          </w:p>
        </w:tc>
      </w:tr>
      <w:tr>
        <w:tc>
          <w:tcPr>
            <w:tcW w:type="dxa" w:w="156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Classical</w:t>
            </w:r>
          </w:p>
        </w:tc>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538 → 1798</w:t>
            </w:r>
          </w:p>
        </w:tc>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Justinian / Ostrogoths leave Rome</w:t>
            </w:r>
          </w:p>
        </w:tc>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Napoleon captures Pope</w:t>
            </w:r>
          </w:p>
        </w:tc>
        <w:tc>
          <w:tcPr>
            <w:tcW w:type="dxa" w:w="2184"/>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Mainstream historicist (Adventist, Reformation)</w:t>
            </w:r>
          </w:p>
        </w:tc>
      </w:tr>
      <w:tr>
        <w:tc>
          <w:tcPr>
            <w:tcW w:type="dxa" w:w="156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Daniel-12</w:t>
            </w:r>
          </w:p>
        </w:tc>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539 → 1829</w:t>
            </w:r>
          </w:p>
        </w:tc>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Justinianic settlement</w:t>
            </w:r>
          </w:p>
        </w:tc>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Catholic Emancipation Act</w:t>
            </w:r>
          </w:p>
        </w:tc>
        <w:tc>
          <w:tcPr>
            <w:tcW w:type="dxa" w:w="2184"/>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19th-century historicist variant</w:t>
            </w:r>
          </w:p>
        </w:tc>
      </w:tr>
      <w:tr>
        <w:tc>
          <w:tcPr>
            <w:tcW w:type="dxa" w:w="156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Restorationist</w:t>
            </w:r>
          </w:p>
        </w:tc>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721 BC → 570 → 1830</w:t>
            </w:r>
          </w:p>
        </w:tc>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Fall of Samaria</w:t>
            </w:r>
          </w:p>
        </w:tc>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Organization of the Church of Christ</w:t>
            </w:r>
          </w:p>
        </w:tc>
        <w:tc>
          <w:tcPr>
            <w:tcW w:type="dxa" w:w="2184"/>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LDS / restorationist literature</w:t>
            </w:r>
          </w:p>
        </w:tc>
      </w:tr>
    </w:tbl>
    <w:p>
      <w:pPr>
        <w:pStyle w:val="Heading2"/>
        <w:spacing w:after="140" w:before="280"/>
      </w:pPr>
      <w:r>
        <w:rPr>
          <w:rFonts w:ascii="Garamond" w:cs="Garamond" w:eastAsia="Garamond" w:hAnsi="Garamond"/>
          <w:b/>
          <w:bCs/>
          <w:sz w:val="28"/>
          <w:szCs w:val="28"/>
        </w:rPr>
        <w:t xml:space="preserve">E. Methodological Honesty</w:t>
      </w:r>
    </w:p>
    <w:p>
      <w:pPr>
        <w:spacing w:after="80" w:before="80" w:line="300"/>
        <w:jc w:val="both"/>
      </w:pPr>
      <w:r>
        <w:rPr>
          <w:rFonts w:ascii="Garamond" w:cs="Garamond" w:eastAsia="Garamond" w:hAnsi="Garamond"/>
          <w:sz w:val="24"/>
          <w:szCs w:val="24"/>
        </w:rPr>
        <w:t xml:space="preserve">The three chains do not contradict each other so much as ask different questions. The 538→1798 chain measures the rise and fall of the medieval ecclesiastical-political order. The 539→1829 chain measures from the same starting-region to a legal landmark of religious-liberty reversal. The 721→570→1830 chain measures from covenant-Israel's fall through the consolidation of post-apostolic religion to the restoration of priesthood authority.</w:t>
      </w:r>
    </w:p>
    <w:p>
      <w:pPr>
        <w:spacing w:after="80" w:before="80" w:line="300"/>
        <w:jc w:val="both"/>
      </w:pPr>
      <w:r>
        <w:rPr>
          <w:rFonts w:ascii="Garamond" w:cs="Garamond" w:eastAsia="Garamond" w:hAnsi="Garamond"/>
          <w:sz w:val="24"/>
          <w:szCs w:val="24"/>
        </w:rPr>
        <w:t xml:space="preserve">It is also necessary to note that official Latter-day Saint manuals do not canonize this math. Seminary and Institute curricula teach the symbolism of Revelation 12 — apostasy → restoration — without prescribing any specific calculation that lands on 1830. The 721→570→1830 chain is a restorationist construction, theologically meaningful and arithmetically consistent, but not part of formal Church doctrine. Readers should weigh the chains as interpretive lenses, each illuminating part of the prophetic landscape.</w:t>
      </w:r>
    </w:p>
    <w:p>
      <w:pPr>
        <w:pStyle w:val="Heading1"/>
        <w:spacing w:after="180" w:before="360"/>
        <w:jc w:val="left"/>
      </w:pPr>
      <w:r>
        <w:rPr>
          <w:rFonts w:ascii="Garamond" w:cs="Garamond" w:eastAsia="Garamond" w:hAnsi="Garamond"/>
          <w:b/>
          <w:bCs/>
          <w:sz w:val="32"/>
          <w:szCs w:val="32"/>
        </w:rPr>
        <w:t xml:space="preserve">IX. The 570 A.D. Hinge — Creedal Christianity Defined</w:t>
      </w:r>
    </w:p>
    <w:p>
      <w:pPr>
        <w:spacing w:after="80" w:before="80" w:line="300"/>
        <w:jc w:val="both"/>
      </w:pPr>
      <w:r>
        <w:rPr>
          <w:rFonts w:ascii="Garamond" w:cs="Garamond" w:eastAsia="Garamond" w:hAnsi="Garamond"/>
          <w:sz w:val="24"/>
          <w:szCs w:val="24"/>
        </w:rPr>
        <w:t xml:space="preserve">The 721→570→1830 chain rests on a particular reading of what 570 A.D. represents: the maturation of “creedal Christianity” and the exit of revelation from the public Christian world.</w:t>
      </w:r>
    </w:p>
    <w:p>
      <w:pPr>
        <w:pStyle w:val="Heading2"/>
        <w:spacing w:after="140" w:before="280"/>
      </w:pPr>
      <w:r>
        <w:rPr>
          <w:rFonts w:ascii="Garamond" w:cs="Garamond" w:eastAsia="Garamond" w:hAnsi="Garamond"/>
          <w:b/>
          <w:bCs/>
          <w:sz w:val="28"/>
          <w:szCs w:val="28"/>
        </w:rPr>
        <w:t xml:space="preserve">A. The Historical Setting</w:t>
      </w:r>
    </w:p>
    <w:p>
      <w:pPr>
        <w:spacing w:after="80" w:before="80" w:line="300"/>
        <w:jc w:val="both"/>
      </w:pPr>
      <w:r>
        <w:rPr>
          <w:rFonts w:ascii="Garamond" w:cs="Garamond" w:eastAsia="Garamond" w:hAnsi="Garamond"/>
          <w:sz w:val="24"/>
          <w:szCs w:val="24"/>
        </w:rPr>
        <w:t xml:space="preserve">By 570 A.D., Christianity had passed through its imperial and theological consolidation phase: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80"/>
        <w:gridCol w:w="3640"/>
        <w:gridCol w:w="3640"/>
      </w:tblGrid>
      <w:tr>
        <w:trPr>
          <w:tblHeader/>
        </w:trPr>
        <w:tc>
          <w:tcPr>
            <w:tcW w:type="dxa" w:w="208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Era</w:t>
            </w:r>
          </w:p>
        </w:tc>
        <w:tc>
          <w:tcPr>
            <w:tcW w:type="dxa" w:w="364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Key Events</w:t>
            </w:r>
          </w:p>
        </w:tc>
        <w:tc>
          <w:tcPr>
            <w:tcW w:type="dxa" w:w="364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Doctrinal Outcome</w:t>
            </w:r>
          </w:p>
        </w:tc>
      </w:tr>
      <w:tr>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325–451 A.D.</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Councils of Nicaea (325), Constantinople (381), Ephesus (431), Chalcedon (451)</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Trinitarian and Christological creeds formalized — God as one essence in three co-equal persons; Jesus as one person in two natures.</w:t>
            </w:r>
          </w:p>
        </w:tc>
      </w:tr>
      <w:tr>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451–570 A.D.</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Rise of Byzantine Orthodoxy, Papal primacy, state-church merger</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Theological debates settled by imperial authority; Christianity becomes institutionally creedal rather than charismatic or prophetic.</w:t>
            </w:r>
          </w:p>
        </w:tc>
      </w:tr>
      <w:tr>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570 A.D.</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Approximate birth of Muhammad</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A new world religious era begins as Christianity's internal unity splinters and much of the Near East soon leaves Christendom.</w:t>
            </w:r>
          </w:p>
        </w:tc>
      </w:tr>
    </w:tbl>
    <w:p>
      <w:pPr>
        <w:spacing w:after="80" w:before="80" w:line="300"/>
        <w:jc w:val="both"/>
      </w:pPr>
      <w:r>
        <w:rPr>
          <w:rFonts w:ascii="Garamond" w:cs="Garamond" w:eastAsia="Garamond" w:hAnsi="Garamond"/>
          <w:sz w:val="24"/>
          <w:szCs w:val="24"/>
        </w:rPr>
        <w:t xml:space="preserve">By 570 A.D., the Nicene-Chalcedonian creedal system had triumphed. Christianity was imperial, dogmatic, and codified — no longer the decentralized, apostolic, charismatic movement of the New Testament.</w:t>
      </w:r>
    </w:p>
    <w:p>
      <w:pPr>
        <w:pStyle w:val="Heading2"/>
        <w:spacing w:after="140" w:before="280"/>
      </w:pPr>
      <w:r>
        <w:rPr>
          <w:rFonts w:ascii="Garamond" w:cs="Garamond" w:eastAsia="Garamond" w:hAnsi="Garamond"/>
          <w:b/>
          <w:bCs/>
          <w:sz w:val="28"/>
          <w:szCs w:val="28"/>
        </w:rPr>
        <w:t xml:space="preserve">B. The Edict of Thessalonica (380 A.D.) — When Creed Became Law</w:t>
      </w:r>
    </w:p>
    <w:p>
      <w:pPr>
        <w:spacing w:after="80" w:before="80" w:line="300"/>
        <w:jc w:val="both"/>
      </w:pPr>
      <w:r>
        <w:rPr>
          <w:rFonts w:ascii="Garamond" w:cs="Garamond" w:eastAsia="Garamond" w:hAnsi="Garamond"/>
          <w:sz w:val="24"/>
          <w:szCs w:val="24"/>
        </w:rPr>
        <w:t xml:space="preserve">The transition from apostolic to state-enforced creedal Christianity did not happen by gradual drift alone. It happened, at one identifiable moment, by imperial decree. On February 27, 380 A.D., Emperor Theodosius I issued from Thessalonica an edict known by its opening words — Cunctos populos — that formally merged church and state and made Nicene Christianity the official, mandatory religion of the Roman Empire.</w:t>
      </w:r>
    </w:p>
    <w:p>
      <w:pPr>
        <w:spacing w:after="80" w:before="80" w:line="300"/>
        <w:jc w:val="both"/>
      </w:pPr>
      <w:r>
        <w:rPr>
          <w:rFonts w:ascii="Garamond" w:cs="Garamond" w:eastAsia="Garamond" w:hAnsi="Garamond"/>
          <w:sz w:val="24"/>
          <w:szCs w:val="24"/>
        </w:rPr>
        <w:t xml:space="preserve">The language of the decree was unusually severe. It commanded that all peoples ruled by the imperial authority profess the faith handed down to the Romans by the Apostle Peter, as held by the bishops of Rome and Alexandria — that is, Trinitarian, Nicene Christianity. Those who did so were entitled to the legal name “Catholic Christians.” Those who did not were classified, in the edict's own Latin, as “dementes vesanos” — demented and insane. Their gatherings were stripped of legal recognition; they were forbidden to call their meeting places churches; and they were declared subject to both divine vengeance and the punitive power of the state.</w:t>
      </w:r>
    </w:p>
    <w:p>
      <w:pPr>
        <w:spacing w:after="80" w:before="80" w:line="300"/>
        <w:jc w:val="both"/>
      </w:pPr>
      <w:r>
        <w:rPr>
          <w:rFonts w:ascii="Garamond" w:cs="Garamond" w:eastAsia="Garamond" w:hAnsi="Garamond"/>
          <w:sz w:val="24"/>
          <w:szCs w:val="24"/>
        </w:rPr>
        <w:t xml:space="preserve">In a single legislative act, religious dissent had been redefined as a form of mental disease and a punishable civil offense. Faith was no longer a matter of spiritual conscience; it had become a matter of state compliance.</w:t>
      </w:r>
    </w:p>
    <w:p>
      <w:pPr>
        <w:pStyle w:val="Heading3"/>
        <w:spacing w:after="100" w:before="200"/>
      </w:pPr>
      <w:r>
        <w:rPr>
          <w:rFonts w:ascii="Garamond" w:cs="Garamond" w:eastAsia="Garamond" w:hAnsi="Garamond"/>
          <w:b/>
          <w:bCs/>
          <w:i/>
          <w:iCs/>
          <w:sz w:val="25"/>
          <w:szCs w:val="25"/>
        </w:rPr>
        <w:t xml:space="preserve">The Three Creeds and the Political Church</w:t>
      </w:r>
    </w:p>
    <w:p>
      <w:pPr>
        <w:spacing w:after="80" w:before="80" w:line="300"/>
        <w:jc w:val="both"/>
      </w:pPr>
      <w:r>
        <w:rPr>
          <w:rFonts w:ascii="Garamond" w:cs="Garamond" w:eastAsia="Garamond" w:hAnsi="Garamond"/>
          <w:sz w:val="24"/>
          <w:szCs w:val="24"/>
        </w:rPr>
        <w:t xml:space="preserve">The Edict of Thessalonica gave coercive force to the doctrinal formulas that had emerged, and would continue to emerge, from the ecumenical councils. Adherence to the Apostles', Nicene, and (later) Athanasian creeds became the legal test of orthodoxy. Theological dissent — whether Arian, Donatist, or otherwise — was now a civil offense. Heresy laws followed; property confiscations followed; eventually, executions followed. The post-apostolic creeds had not been written as instruments of state power, but in the hands of empire they were converted into precisely that. This is the historical birth of what may properly be called the “political church” — a phrase that names not a particular institution but a specific configuration in which doctrinal definition, civil authority, and coercive force are fused into one.</w:t>
      </w:r>
    </w:p>
    <w:p>
      <w:pPr>
        <w:pStyle w:val="Heading3"/>
        <w:spacing w:after="100" w:before="200"/>
      </w:pPr>
      <w:r>
        <w:rPr>
          <w:rFonts w:ascii="Garamond" w:cs="Garamond" w:eastAsia="Garamond" w:hAnsi="Garamond"/>
          <w:b/>
          <w:bCs/>
          <w:i/>
          <w:iCs/>
          <w:sz w:val="25"/>
          <w:szCs w:val="25"/>
        </w:rPr>
        <w:t xml:space="preserve">When Baptism Became Citizenship — The Weaponization of the Ordinance</w:t>
      </w:r>
    </w:p>
    <w:p>
      <w:pPr>
        <w:spacing w:after="80" w:before="80" w:line="300"/>
        <w:jc w:val="both"/>
      </w:pPr>
      <w:r>
        <w:rPr>
          <w:rFonts w:ascii="Garamond" w:cs="Garamond" w:eastAsia="Garamond" w:hAnsi="Garamond"/>
          <w:sz w:val="24"/>
          <w:szCs w:val="24"/>
        </w:rPr>
        <w:t xml:space="preserve">The legal architecture established by the Edict of Thessalonica produced a consequence even more far-reaching than the persecution of dissenters. In the decades and centuries that followed, religious standing and legal standing were progressively merged into a single status. A person's church membership and a person's civil citizenship became, in effect, the same fact. To be a full participant in Roman civil life, one had to be a recognized member of the imperial state church.</w:t>
      </w:r>
    </w:p>
    <w:p>
      <w:pPr>
        <w:spacing w:after="80" w:before="80" w:line="300"/>
        <w:jc w:val="both"/>
      </w:pPr>
      <w:r>
        <w:rPr>
          <w:rFonts w:ascii="Garamond" w:cs="Garamond" w:eastAsia="Garamond" w:hAnsi="Garamond"/>
          <w:sz w:val="24"/>
          <w:szCs w:val="24"/>
        </w:rPr>
        <w:t xml:space="preserve">This produced a striking transformation of baptism itself. Within the new legal regime, those not baptized into the state-sanctioned faith were systematically stripped of legal protections — barred, as the regime developed, from inheriting property, testifying in court, holding public office, and marrying within the citizen body. Parish baptismal records, originally kept as a sacramental record of those received into the Christian community, became the empire's de facto civil registry. A person's baptismal entry functioned simultaneously as a birth certificate, a proof of citizenship, and the only legal shield against state classification as one of the “dementes vesanos” of the original edict. For the next thousand years and more, in much of Europe, parish records remained the only birth, marriage, and death registries that existed.</w:t>
      </w:r>
    </w:p>
    <w:p>
      <w:pPr>
        <w:spacing w:after="80" w:before="80" w:line="300"/>
        <w:jc w:val="both"/>
      </w:pPr>
      <w:r>
        <w:rPr>
          <w:rFonts w:ascii="Garamond" w:cs="Garamond" w:eastAsia="Garamond" w:hAnsi="Garamond"/>
          <w:sz w:val="24"/>
          <w:szCs w:val="24"/>
        </w:rPr>
        <w:t xml:space="preserve">The theological consequence is severe. By forcing baptism through state compliance rather than through spiritual conscience, the political church kept the form of the ordinance and destroyed its power. Baptism without agency is no covenant; it is bookkeeping. The ordinance was retained — outwardly performed, legally recorded, civilly required — while the moral and spiritual reality the ordinance was meant to manifest was systematically erased. This is the precise condition Paul named when he warned of those “having a form of godliness, but denying the power thereof” (2 Tim. 3:5), and the precise condition the Doctrine and Covenants identifies in 84:19–22 as the loss of priesthood authority through which the power of godliness is manifest. Section XV develops this principle in full; it is enough here to note that its seed was planted in 380 A.D., and that the corruption of the ordinance — not only the corruption of the doctrine — is part of what the Restoration was sent to repair.</w:t>
      </w:r>
    </w:p>
    <w:p>
      <w:pPr>
        <w:pStyle w:val="Heading3"/>
        <w:spacing w:after="100" w:before="200"/>
      </w:pPr>
      <w:r>
        <w:rPr>
          <w:rFonts w:ascii="Garamond" w:cs="Garamond" w:eastAsia="Garamond" w:hAnsi="Garamond"/>
          <w:b/>
          <w:bCs/>
          <w:i/>
          <w:iCs/>
          <w:sz w:val="25"/>
          <w:szCs w:val="25"/>
        </w:rPr>
        <w:t xml:space="preserve">The Corruption of the Covenant Meal — From Mystery to Dogma (1215 A.D.)</w:t>
      </w:r>
    </w:p>
    <w:p>
      <w:pPr>
        <w:spacing w:after="80" w:before="80" w:line="300"/>
        <w:jc w:val="both"/>
      </w:pPr>
      <w:r>
        <w:rPr>
          <w:rFonts w:ascii="Garamond" w:cs="Garamond" w:eastAsia="Garamond" w:hAnsi="Garamond"/>
          <w:sz w:val="24"/>
          <w:szCs w:val="24"/>
        </w:rPr>
        <w:t xml:space="preserve">What the political church did to baptism it did, by a parallel and slower path, to the sacrament. The covenant meal Christ instituted at the Last Supper traveled the same arc — from a living mysterion received in conscience into a strictly defined philosophical dogma — and reached its capstone, like the baptism transformation, in a dated and named ecclesiastical decree. Its drift through the centuries between Christ's institution and that decree mirrors, with unsettling closeness, the four-stage corruption of the Levitical offerings traced in Section X.B.</w:t>
      </w:r>
    </w:p>
    <w:p>
      <w:pPr>
        <w:spacing w:after="80" w:before="80" w:line="300"/>
        <w:jc w:val="both"/>
      </w:pPr>
      <w:r>
        <w:rPr>
          <w:rFonts w:ascii="Garamond" w:cs="Garamond" w:eastAsia="Garamond" w:hAnsi="Garamond"/>
          <w:b/>
          <w:bCs/>
          <w:sz w:val="24"/>
          <w:szCs w:val="24"/>
        </w:rPr>
        <w:t xml:space="preserve">The original mysterion — Christ's elevation of the Passover. </w:t>
      </w:r>
      <w:r>
        <w:rPr>
          <w:rFonts w:ascii="Garamond" w:cs="Garamond" w:eastAsia="Garamond" w:hAnsi="Garamond"/>
          <w:sz w:val="24"/>
          <w:szCs w:val="24"/>
        </w:rPr>
        <w:t xml:space="preserve">The roots of the communion meal lay in the Jewish Passover, a feast Israel had kept for more than a thousand years as a profoundly symbolic remembrance of deliverance from Egypt. At the Last Supper, Christ took that ancient symbolic meal and elevated it. He did not merely command another remembrance; He instituted a new covenant in His own blood, identifying the bread with His body broken and the cup with His blood shed. Paul, writing within the apostolic generation, gave that elevation its precise Greek name: “The cup of blessing which we bless, is it not the </w:t>
      </w:r>
      <w:r>
        <w:rPr>
          <w:rFonts w:ascii="Garamond" w:cs="Garamond" w:eastAsia="Garamond" w:hAnsi="Garamond"/>
          <w:i/>
          <w:iCs/>
          <w:sz w:val="24"/>
          <w:szCs w:val="24"/>
        </w:rPr>
        <w:t xml:space="preserve">koinonia </w:t>
      </w:r>
      <w:r>
        <w:rPr>
          <w:rFonts w:ascii="Garamond" w:cs="Garamond" w:eastAsia="Garamond" w:hAnsi="Garamond"/>
          <w:sz w:val="24"/>
          <w:szCs w:val="24"/>
        </w:rPr>
        <w:t xml:space="preserve">of the blood of Christ? The bread which we break, is it not the </w:t>
      </w:r>
      <w:r>
        <w:rPr>
          <w:rFonts w:ascii="Garamond" w:cs="Garamond" w:eastAsia="Garamond" w:hAnsi="Garamond"/>
          <w:i/>
          <w:iCs/>
          <w:sz w:val="24"/>
          <w:szCs w:val="24"/>
        </w:rPr>
        <w:t xml:space="preserve">koinonia </w:t>
      </w:r>
      <w:r>
        <w:rPr>
          <w:rFonts w:ascii="Garamond" w:cs="Garamond" w:eastAsia="Garamond" w:hAnsi="Garamond"/>
          <w:sz w:val="24"/>
          <w:szCs w:val="24"/>
        </w:rPr>
        <w:t xml:space="preserve">of the body of Christ?” (1 Cor. 10:16). </w:t>
      </w:r>
      <w:r>
        <w:rPr>
          <w:rFonts w:ascii="Garamond" w:cs="Garamond" w:eastAsia="Garamond" w:hAnsi="Garamond"/>
          <w:i/>
          <w:iCs/>
          <w:sz w:val="24"/>
          <w:szCs w:val="24"/>
        </w:rPr>
        <w:t xml:space="preserve">Koinonia </w:t>
      </w:r>
      <w:r>
        <w:rPr>
          <w:rFonts w:ascii="Garamond" w:cs="Garamond" w:eastAsia="Garamond" w:hAnsi="Garamond"/>
          <w:sz w:val="24"/>
          <w:szCs w:val="24"/>
        </w:rPr>
        <w:t xml:space="preserve">— joint participation, communion, fellowship — names something more than memorial. In the cup and the bread, Paul says, the gathered believers do not merely remember a past event; they actively share in a present reality. The Christian sacrament was, from its institution, a richer thing than the Passover that prefigured it.</w:t>
      </w:r>
    </w:p>
    <w:p>
      <w:pPr>
        <w:spacing w:after="80" w:before="80" w:line="300"/>
        <w:jc w:val="both"/>
      </w:pPr>
      <w:r>
        <w:rPr>
          <w:rFonts w:ascii="Garamond" w:cs="Garamond" w:eastAsia="Garamond" w:hAnsi="Garamond"/>
          <w:sz w:val="24"/>
          <w:szCs w:val="24"/>
        </w:rPr>
        <w:t xml:space="preserve">A note on the word </w:t>
      </w:r>
      <w:r>
        <w:rPr>
          <w:rFonts w:ascii="Garamond" w:cs="Garamond" w:eastAsia="Garamond" w:hAnsi="Garamond"/>
          <w:i/>
          <w:iCs/>
          <w:sz w:val="24"/>
          <w:szCs w:val="24"/>
        </w:rPr>
        <w:t xml:space="preserve">mysterion </w:t>
      </w:r>
      <w:r>
        <w:rPr>
          <w:rFonts w:ascii="Garamond" w:cs="Garamond" w:eastAsia="Garamond" w:hAnsi="Garamond"/>
          <w:sz w:val="24"/>
          <w:szCs w:val="24"/>
        </w:rPr>
        <w:t xml:space="preserve">is necessary here. In the New Testament, </w:t>
      </w:r>
      <w:r>
        <w:rPr>
          <w:rFonts w:ascii="Garamond" w:cs="Garamond" w:eastAsia="Garamond" w:hAnsi="Garamond"/>
          <w:i/>
          <w:iCs/>
          <w:sz w:val="24"/>
          <w:szCs w:val="24"/>
        </w:rPr>
        <w:t xml:space="preserve">mysterion </w:t>
      </w:r>
      <w:r>
        <w:rPr>
          <w:rFonts w:ascii="Garamond" w:cs="Garamond" w:eastAsia="Garamond" w:hAnsi="Garamond"/>
          <w:sz w:val="24"/>
          <w:szCs w:val="24"/>
        </w:rPr>
        <w:t xml:space="preserve">— translated “mystery” in English — does not mean a puzzle, a vague spiritual feeling, or an unsolvable riddle. It means an outward and visible sign that connects the believer to a hidden divine reality. Later Latin Christianity would translate the term as </w:t>
      </w:r>
      <w:r>
        <w:rPr>
          <w:rFonts w:ascii="Garamond" w:cs="Garamond" w:eastAsia="Garamond" w:hAnsi="Garamond"/>
          <w:i/>
          <w:iCs/>
          <w:sz w:val="24"/>
          <w:szCs w:val="24"/>
        </w:rPr>
        <w:t xml:space="preserve">sacramentum, </w:t>
      </w:r>
      <w:r>
        <w:rPr>
          <w:rFonts w:ascii="Garamond" w:cs="Garamond" w:eastAsia="Garamond" w:hAnsi="Garamond"/>
          <w:sz w:val="24"/>
          <w:szCs w:val="24"/>
        </w:rPr>
        <w:t xml:space="preserve">from which the English word </w:t>
      </w:r>
      <w:r>
        <w:rPr>
          <w:rFonts w:ascii="Garamond" w:cs="Garamond" w:eastAsia="Garamond" w:hAnsi="Garamond"/>
          <w:i/>
          <w:iCs/>
          <w:sz w:val="24"/>
          <w:szCs w:val="24"/>
        </w:rPr>
        <w:t xml:space="preserve">sacrament </w:t>
      </w:r>
      <w:r>
        <w:rPr>
          <w:rFonts w:ascii="Garamond" w:cs="Garamond" w:eastAsia="Garamond" w:hAnsi="Garamond"/>
          <w:sz w:val="24"/>
          <w:szCs w:val="24"/>
        </w:rPr>
        <w:t xml:space="preserve">descends. To call the communion meal a sacred mystery, in the apostolic sense, is therefore to say something theologically heavier than “symbol,” not lighter. The bread is more than a memorial; it is the medium of joint participation. The cup is more than a sign; it is the </w:t>
      </w:r>
      <w:r>
        <w:rPr>
          <w:rFonts w:ascii="Garamond" w:cs="Garamond" w:eastAsia="Garamond" w:hAnsi="Garamond"/>
          <w:i/>
          <w:iCs/>
          <w:sz w:val="24"/>
          <w:szCs w:val="24"/>
        </w:rPr>
        <w:t xml:space="preserve">koinonia </w:t>
      </w:r>
      <w:r>
        <w:rPr>
          <w:rFonts w:ascii="Garamond" w:cs="Garamond" w:eastAsia="Garamond" w:hAnsi="Garamond"/>
          <w:sz w:val="24"/>
          <w:szCs w:val="24"/>
        </w:rPr>
        <w:t xml:space="preserve">of the new covenant. The early church kept this reality precisely by refusing to pin it down to a metaphysical formula — not because they could not, but because they recognized that no formula could carry what the ordinance itself was.</w:t>
      </w:r>
    </w:p>
    <w:p>
      <w:pPr>
        <w:spacing w:after="80" w:before="80" w:line="300"/>
        <w:jc w:val="both"/>
      </w:pPr>
      <w:r>
        <w:rPr>
          <w:rFonts w:ascii="Garamond" w:cs="Garamond" w:eastAsia="Garamond" w:hAnsi="Garamond"/>
          <w:b/>
          <w:bCs/>
          <w:sz w:val="24"/>
          <w:szCs w:val="24"/>
        </w:rPr>
        <w:t xml:space="preserve">The gradual drift — realistic language without dogmatic claim. </w:t>
      </w:r>
      <w:r>
        <w:rPr>
          <w:rFonts w:ascii="Garamond" w:cs="Garamond" w:eastAsia="Garamond" w:hAnsi="Garamond"/>
          <w:sz w:val="24"/>
          <w:szCs w:val="24"/>
        </w:rPr>
        <w:t xml:space="preserve">By the second and third centuries, the language used by the early church Fathers grew more vivid and more “realistic,” speaking of the bread and wine as the body and blood of the Lord in language closer to literal description. Even then, however, the meal was received as divine </w:t>
      </w:r>
      <w:r>
        <w:rPr>
          <w:rFonts w:ascii="Garamond" w:cs="Garamond" w:eastAsia="Garamond" w:hAnsi="Garamond"/>
          <w:i/>
          <w:iCs/>
          <w:sz w:val="24"/>
          <w:szCs w:val="24"/>
        </w:rPr>
        <w:t xml:space="preserve">mysterion </w:t>
      </w:r>
      <w:r>
        <w:rPr>
          <w:rFonts w:ascii="Garamond" w:cs="Garamond" w:eastAsia="Garamond" w:hAnsi="Garamond"/>
          <w:sz w:val="24"/>
          <w:szCs w:val="24"/>
        </w:rPr>
        <w:t xml:space="preserve">and </w:t>
      </w:r>
      <w:r>
        <w:rPr>
          <w:rFonts w:ascii="Garamond" w:cs="Garamond" w:eastAsia="Garamond" w:hAnsi="Garamond"/>
          <w:i/>
          <w:iCs/>
          <w:sz w:val="24"/>
          <w:szCs w:val="24"/>
        </w:rPr>
        <w:t xml:space="preserve">koinonia, </w:t>
      </w:r>
      <w:r>
        <w:rPr>
          <w:rFonts w:ascii="Garamond" w:cs="Garamond" w:eastAsia="Garamond" w:hAnsi="Garamond"/>
          <w:sz w:val="24"/>
          <w:szCs w:val="24"/>
        </w:rPr>
        <w:t xml:space="preserve">not as a chemical or philosophical claim. The drift, like the drift of the Levitical offerings under the sons of Eli and the era of Isaiah, was gradual: a slow hardening of metaphor toward literalism, but not yet a dogmatic formulation. Theology was not yet attempting to legislate metaphysics.</w:t>
      </w:r>
    </w:p>
    <w:p>
      <w:pPr>
        <w:spacing w:after="80" w:before="80" w:line="300"/>
        <w:jc w:val="both"/>
      </w:pPr>
      <w:r>
        <w:rPr>
          <w:rFonts w:ascii="Garamond" w:cs="Garamond" w:eastAsia="Garamond" w:hAnsi="Garamond"/>
          <w:b/>
          <w:bCs/>
          <w:sz w:val="24"/>
          <w:szCs w:val="24"/>
        </w:rPr>
        <w:t xml:space="preserve">The 1215 A.D. decree — transubstantiation as mandatory law. </w:t>
      </w:r>
      <w:r>
        <w:rPr>
          <w:rFonts w:ascii="Garamond" w:cs="Garamond" w:eastAsia="Garamond" w:hAnsi="Garamond"/>
          <w:sz w:val="24"/>
          <w:szCs w:val="24"/>
        </w:rPr>
        <w:t xml:space="preserve">The hardening completed itself in the medieval period. Theologians in the eleventh and twelfth centuries refined the philosophical category that came to be called transubstantiation — the doctrine that the underlying substance of the bread and wine is changed into the actual body and blood of Christ at the priest's words of consecration, while the accidents (the outward appearance) remain. At the Fourth Lateran Council under Pope Innocent III in 1215 A.D., this philosophical claim was made the official, mandatory doctrine of the Western church. Questioning the literal change was now legally and doctrinally heresy. The pattern of 380 A.D. had repeated itself: a spiritual reality that had once been received in </w:t>
      </w:r>
      <w:r>
        <w:rPr>
          <w:rFonts w:ascii="Garamond" w:cs="Garamond" w:eastAsia="Garamond" w:hAnsi="Garamond"/>
          <w:i/>
          <w:iCs/>
          <w:sz w:val="24"/>
          <w:szCs w:val="24"/>
        </w:rPr>
        <w:t xml:space="preserve">mysterion </w:t>
      </w:r>
      <w:r>
        <w:rPr>
          <w:rFonts w:ascii="Garamond" w:cs="Garamond" w:eastAsia="Garamond" w:hAnsi="Garamond"/>
          <w:sz w:val="24"/>
          <w:szCs w:val="24"/>
        </w:rPr>
        <w:t xml:space="preserve">and conscience was converted, by ecclesiastical decree, into a matter of mandatory belief enforceable by penalty. In trying to solve the mystery, the political church destroyed it.</w:t>
      </w:r>
    </w:p>
    <w:p>
      <w:pPr>
        <w:spacing w:after="80" w:before="80" w:line="300"/>
        <w:jc w:val="both"/>
      </w:pPr>
      <w:r>
        <w:rPr>
          <w:rFonts w:ascii="Garamond" w:cs="Garamond" w:eastAsia="Garamond" w:hAnsi="Garamond"/>
          <w:b/>
          <w:bCs/>
          <w:sz w:val="24"/>
          <w:szCs w:val="24"/>
        </w:rPr>
        <w:t xml:space="preserve">Form without power. </w:t>
      </w:r>
      <w:r>
        <w:rPr>
          <w:rFonts w:ascii="Garamond" w:cs="Garamond" w:eastAsia="Garamond" w:hAnsi="Garamond"/>
          <w:sz w:val="24"/>
          <w:szCs w:val="24"/>
        </w:rPr>
        <w:t xml:space="preserve">What was lost in this transition was not the outward act. Bread was still broken; wine was still poured; words of consecration were still spoken. What was lost was the meal's character as a covenant freely entered into, a </w:t>
      </w:r>
      <w:r>
        <w:rPr>
          <w:rFonts w:ascii="Garamond" w:cs="Garamond" w:eastAsia="Garamond" w:hAnsi="Garamond"/>
          <w:i/>
          <w:iCs/>
          <w:sz w:val="24"/>
          <w:szCs w:val="24"/>
        </w:rPr>
        <w:t xml:space="preserve">koinonia </w:t>
      </w:r>
      <w:r>
        <w:rPr>
          <w:rFonts w:ascii="Garamond" w:cs="Garamond" w:eastAsia="Garamond" w:hAnsi="Garamond"/>
          <w:sz w:val="24"/>
          <w:szCs w:val="24"/>
        </w:rPr>
        <w:t xml:space="preserve">freely received, a presence freely participated in. By forcing a literal philosophical definition onto a spiritual reality the apostles had deliberately left unconverted, the political church kept the form of the ordinance and stripped away the agency that gave it covenantal meaning. The sacrament, like baptism, retained its outward shape while its inner power was systematically dimmed. It is the same diagnosis that the broken altar of Malachi 1 produced and that Paul named in 2 Timothy 3:5: a form of godliness, but the power thereof denied.</w:t>
      </w:r>
    </w:p>
    <w:p>
      <w:pPr>
        <w:spacing w:after="80" w:before="80" w:line="300"/>
        <w:jc w:val="both"/>
      </w:pPr>
      <w:r>
        <w:rPr>
          <w:rFonts w:ascii="Garamond" w:cs="Garamond" w:eastAsia="Garamond" w:hAnsi="Garamond"/>
          <w:sz w:val="24"/>
          <w:szCs w:val="24"/>
        </w:rPr>
        <w:t xml:space="preserve">Two ordinances, two decrees, one pattern. The entry ordinance had been weaponized by the Edict of Thessalonica in 380 A.D.; the recurring covenant ordinance was dogmatized by Lateran IV in 1215 A.D. Between them, the political church had taken hold of both points at which the gospel touches the individual soul — entry and renewal — and converted each from a covenant freely made into a status legally defined.</w:t>
      </w:r>
    </w:p>
    <w:p>
      <w:pPr>
        <w:pStyle w:val="Heading3"/>
        <w:spacing w:after="100" w:before="200"/>
      </w:pPr>
      <w:r>
        <w:rPr>
          <w:rFonts w:ascii="Garamond" w:cs="Garamond" w:eastAsia="Garamond" w:hAnsi="Garamond"/>
          <w:b/>
          <w:bCs/>
          <w:i/>
          <w:iCs/>
          <w:sz w:val="25"/>
          <w:szCs w:val="25"/>
        </w:rPr>
        <w:t xml:space="preserve">The Severing of Marriage from the Priesthood — A Third Decree (1074–1139 A.D.)</w:t>
      </w:r>
    </w:p>
    <w:p>
      <w:pPr>
        <w:spacing w:after="80" w:before="80" w:line="300"/>
        <w:jc w:val="both"/>
      </w:pPr>
      <w:r>
        <w:rPr>
          <w:rFonts w:ascii="Garamond" w:cs="Garamond" w:eastAsia="Garamond" w:hAnsi="Garamond"/>
          <w:sz w:val="24"/>
          <w:szCs w:val="24"/>
        </w:rPr>
        <w:t xml:space="preserve">Entry and renewal do not exhaust the points at which the gospel touches a covenant life. A third strand of the same political-church machinery seized a third ordinance, and on a timetable that falls neatly between the baptism decree of 380 A.D. and the sacrament decree of 1215 A.D. The covenant in question is the marriage covenant — specifically, the relation between priesthood and family. Across the eleventh and twelfth centuries, by named decrees of named councils, that covenant was legally severed.</w:t>
      </w:r>
    </w:p>
    <w:p>
      <w:pPr>
        <w:spacing w:after="80" w:before="80" w:line="300"/>
        <w:jc w:val="both"/>
      </w:pPr>
      <w:r>
        <w:rPr>
          <w:rFonts w:ascii="Garamond" w:cs="Garamond" w:eastAsia="Garamond" w:hAnsi="Garamond"/>
          <w:b/>
          <w:bCs/>
          <w:sz w:val="24"/>
          <w:szCs w:val="24"/>
        </w:rPr>
        <w:t xml:space="preserve">Apostolic precedent. </w:t>
      </w:r>
      <w:r>
        <w:rPr>
          <w:rFonts w:ascii="Garamond" w:cs="Garamond" w:eastAsia="Garamond" w:hAnsi="Garamond"/>
          <w:sz w:val="24"/>
          <w:szCs w:val="24"/>
        </w:rPr>
        <w:t xml:space="preserve">The earliest church inherited a married priesthood as a matter of course. Peter was married (Matt. 8:14; cf. 1 Cor. 9:5, where Paul defends the right of an apostle to be accompanied by “a wife, a sister, as well as other apostles, and as the brethren of the Lord, and Cephas”). Paul commands that a bishop be “the husband of one wife” and that he “rule well his own house, having his children in subjection” (1 Tim. 3:2–5); the same standard is applied to deacons (1 Tim. 3:12). In the New Testament, marriage and priestly office are not in tension — they run together, and the family is treated as a school for the office, not as an obstacle to it.</w:t>
      </w:r>
    </w:p>
    <w:p>
      <w:pPr>
        <w:spacing w:after="80" w:before="80" w:line="300"/>
        <w:jc w:val="both"/>
      </w:pPr>
      <w:r>
        <w:rPr>
          <w:rFonts w:ascii="Garamond" w:cs="Garamond" w:eastAsia="Garamond" w:hAnsi="Garamond"/>
          <w:b/>
          <w:bCs/>
          <w:sz w:val="24"/>
          <w:szCs w:val="24"/>
        </w:rPr>
        <w:t xml:space="preserve">The drift through the patristic and medieval centuries. </w:t>
      </w:r>
      <w:r>
        <w:rPr>
          <w:rFonts w:ascii="Garamond" w:cs="Garamond" w:eastAsia="Garamond" w:hAnsi="Garamond"/>
          <w:sz w:val="24"/>
          <w:szCs w:val="24"/>
        </w:rPr>
        <w:t xml:space="preserve">Pressure toward continence began locally in the fourth century. The Spanish Council of Elvira (c. 306) imposed celibacy on bishops, priests, and deacons within its region. At the ecumenical Council of Nicaea (325) a similar mandate was proposed by Bishop Hosius of Cordova; it was declined — according to the church historian Socrates Scholasticus, on the protest of the Egyptian Bishop Paphnutius — and no church-wide requirement was imposed. For the next seven centuries the Latin tradition pulled toward continence as ideal but tolerated marriage in fact. Then, between roughly the late ninth century and the mid-eleventh, the papacy itself entered a period of moral collapse. The standard scholarly bracket for the worst of this collapse is 904–964, the </w:t>
      </w:r>
      <w:r>
        <w:rPr>
          <w:rFonts w:ascii="Garamond" w:cs="Garamond" w:eastAsia="Garamond" w:hAnsi="Garamond"/>
          <w:i/>
          <w:iCs/>
          <w:sz w:val="24"/>
          <w:szCs w:val="24"/>
        </w:rPr>
        <w:t xml:space="preserve">saeculum obscurum</w:t>
      </w:r>
      <w:r>
        <w:rPr>
          <w:rFonts w:ascii="Garamond" w:cs="Garamond" w:eastAsia="Garamond" w:hAnsi="Garamond"/>
          <w:sz w:val="24"/>
          <w:szCs w:val="24"/>
        </w:rPr>
        <w:t xml:space="preserve"> or “Rule of the Harlots,” named in the sixteenth century by Cardinal Caesar Baronius (Baronius, </w:t>
      </w:r>
      <w:r>
        <w:rPr>
          <w:rFonts w:ascii="Garamond" w:cs="Garamond" w:eastAsia="Garamond" w:hAnsi="Garamond"/>
          <w:i/>
          <w:iCs/>
          <w:sz w:val="24"/>
          <w:szCs w:val="24"/>
        </w:rPr>
        <w:t xml:space="preserve">Annales Ecclesiastici</w:t>
      </w:r>
      <w:r>
        <w:rPr>
          <w:rFonts w:ascii="Garamond" w:cs="Garamond" w:eastAsia="Garamond" w:hAnsi="Garamond"/>
          <w:sz w:val="24"/>
          <w:szCs w:val="24"/>
        </w:rPr>
        <w:t xml:space="preserve">). Other historians use a wider window: Will Durant treats 867–1049 as the “nadir of the papacy” (Durant, </w:t>
      </w:r>
      <w:r>
        <w:rPr>
          <w:rFonts w:ascii="Garamond" w:cs="Garamond" w:eastAsia="Garamond" w:hAnsi="Garamond"/>
          <w:i/>
          <w:iCs/>
          <w:sz w:val="24"/>
          <w:szCs w:val="24"/>
        </w:rPr>
        <w:t xml:space="preserve">The Age of Faith</w:t>
      </w:r>
      <w:r>
        <w:rPr>
          <w:rFonts w:ascii="Garamond" w:cs="Garamond" w:eastAsia="Garamond" w:hAnsi="Garamond"/>
          <w:sz w:val="24"/>
          <w:szCs w:val="24"/>
        </w:rPr>
        <w:t xml:space="preserve">), and the Foundation for Medieval Genealogy treats the period as 872–1048. Whatever the exact dates, the corruption of the era — popes installed and deposed by Roman aristocratic families, hereditary clerical dynasties, parish offices passed from father to son with the property attached — supplied, in the next century, the explicit moral pretext for a sweeping reform.</w:t>
      </w:r>
    </w:p>
    <w:p>
      <w:pPr>
        <w:spacing w:after="80" w:before="80" w:line="300"/>
        <w:jc w:val="both"/>
      </w:pPr>
      <w:r>
        <w:rPr>
          <w:rFonts w:ascii="Garamond" w:cs="Garamond" w:eastAsia="Garamond" w:hAnsi="Garamond"/>
          <w:b/>
          <w:bCs/>
          <w:sz w:val="24"/>
          <w:szCs w:val="24"/>
        </w:rPr>
        <w:t xml:space="preserve">The decisive decrees. </w:t>
      </w:r>
      <w:r>
        <w:rPr>
          <w:rFonts w:ascii="Garamond" w:cs="Garamond" w:eastAsia="Garamond" w:hAnsi="Garamond"/>
          <w:sz w:val="24"/>
          <w:szCs w:val="24"/>
        </w:rPr>
        <w:t xml:space="preserve">The reform crystallized into law across three named moments. On March 9, 1074, at his first Lenten Synod, Pope Gregory VII excommunicated all married Roman Catholic priests and forbade the laity from attending their masses, depriving the married priesthood at a stroke of its function (Philip Schaff, </w:t>
      </w:r>
      <w:r>
        <w:rPr>
          <w:rFonts w:ascii="Garamond" w:cs="Garamond" w:eastAsia="Garamond" w:hAnsi="Garamond"/>
          <w:i/>
          <w:iCs/>
          <w:sz w:val="24"/>
          <w:szCs w:val="24"/>
        </w:rPr>
        <w:t xml:space="preserve">History of the Christian Church</w:t>
      </w:r>
      <w:r>
        <w:rPr>
          <w:rFonts w:ascii="Garamond" w:cs="Garamond" w:eastAsia="Garamond" w:hAnsi="Garamond"/>
          <w:sz w:val="24"/>
          <w:szCs w:val="24"/>
        </w:rPr>
        <w:t xml:space="preserve">, vol. 5; Fordham Medieval Sourcebook, “Gregory VII: Simony and Celibacy 1074”). At the First Lateran Council in 1123, Canon 21 declared that priests, deacons, subdeacons, and monks “absolutely” were forbidden to contract marriages and that “marriage contracts between such persons should be made void” (canons in Norman Tanner, ed., </w:t>
      </w:r>
      <w:r>
        <w:rPr>
          <w:rFonts w:ascii="Garamond" w:cs="Garamond" w:eastAsia="Garamond" w:hAnsi="Garamond"/>
          <w:i/>
          <w:iCs/>
          <w:sz w:val="24"/>
          <w:szCs w:val="24"/>
        </w:rPr>
        <w:t xml:space="preserve">Decrees of the Ecumenical Councils</w:t>
      </w:r>
      <w:r>
        <w:rPr>
          <w:rFonts w:ascii="Garamond" w:cs="Garamond" w:eastAsia="Garamond" w:hAnsi="Garamond"/>
          <w:sz w:val="24"/>
          <w:szCs w:val="24"/>
        </w:rPr>
        <w:t xml:space="preserve">, vol. 1). At the Second Lateran Council in 1139, Canons 6 and 7 went further: Holy Orders themselves were declared an impediment to marriage, and any marriage attempted by a cleric in major orders was declared invalid — not merely irregular but null (Tanner; Britannica, “Second Lateran Council, 1139”). What 1074 began as discipline, 1123 made law, and 1139 made ontological: a married priest was no longer a married priest in canonical fact, and his “wife” was no wife at all.</w:t>
      </w:r>
    </w:p>
    <w:p>
      <w:pPr>
        <w:spacing w:after="80" w:before="80" w:line="300"/>
        <w:jc w:val="both"/>
      </w:pPr>
      <w:r>
        <w:rPr>
          <w:rFonts w:ascii="Garamond" w:cs="Garamond" w:eastAsia="Garamond" w:hAnsi="Garamond"/>
          <w:b/>
          <w:bCs/>
          <w:sz w:val="24"/>
          <w:szCs w:val="24"/>
        </w:rPr>
        <w:t xml:space="preserve">Why this fits the same pattern. </w:t>
      </w:r>
      <w:r>
        <w:rPr>
          <w:rFonts w:ascii="Garamond" w:cs="Garamond" w:eastAsia="Garamond" w:hAnsi="Garamond"/>
          <w:sz w:val="24"/>
          <w:szCs w:val="24"/>
        </w:rPr>
        <w:t xml:space="preserve">The motives openly given for the Gregorian reform were the freedom of the church from secular control and the prevention of hereditary clerical dynasties that diverted parish property to family use; both were practical concerns and both, on their face, were defensible. But the structural effect of the decrees was the same effect produced by the 380 and 1215 decrees: a covenant freely made was converted into a status legally defined. The marriage of priest and wife — which the New Testament had treated as compatible with priesthood and which had been the universal practice of the apostolic generation — was made canonically incompatible with priesthood. The covenant of family was, by ecclesiastical decree, severed from the covenant of priesthood. As with baptism (entry weaponized into citizenship) and the sacrament (renewal dogmatized into transubstantiation), the form of the ordinance was retained — sacramental marriage continued in the laity — while the specific link between priesthood and family was eliminated by law.</w:t>
      </w:r>
    </w:p>
    <w:p>
      <w:pPr>
        <w:spacing w:after="80" w:before="80" w:line="300"/>
        <w:jc w:val="both"/>
      </w:pPr>
      <w:r>
        <w:rPr>
          <w:rFonts w:ascii="Garamond" w:cs="Garamond" w:eastAsia="Garamond" w:hAnsi="Garamond"/>
          <w:b/>
          <w:bCs/>
          <w:sz w:val="24"/>
          <w:szCs w:val="24"/>
        </w:rPr>
        <w:t xml:space="preserve">The Restoration’s reversal. </w:t>
      </w:r>
      <w:r>
        <w:rPr>
          <w:rFonts w:ascii="Garamond" w:cs="Garamond" w:eastAsia="Garamond" w:hAnsi="Garamond"/>
          <w:sz w:val="24"/>
          <w:szCs w:val="24"/>
        </w:rPr>
        <w:t xml:space="preserve">The 1830 Restoration re-fused what 1074–1139 had severed. The Aaronic Priesthood was restored on May 15, 1829 to a married man — Joseph Smith had married Emma Hale on January 18, 1827 — by the heavenly messenger John the Baptist, and the Melchizedek Priesthood followed shortly thereafter under the same conditions. The decisive reversal, however, came on April 3, 1836, when Elijah appeared in the Kirtland Temple and conferred the sealing keys “to turn the heart of the fathers to the children, and the heart of the children to their fathers” (D&amp;C 110:13–16; cf. Mal. 4:5–6). The keys returned through Elijah are precisely the keys that bind priesthood to family across generations — the keys that make marriage itself a priesthood ordinance and that link ministering priest, wife, children, and ancestry into one sealed covenant. What the eleventh- and twelfth-century decrees had legally separated, the 1836 keys legally rejoined.</w:t>
      </w:r>
    </w:p>
    <w:p>
      <w:pPr>
        <w:spacing w:after="80" w:before="80" w:line="300"/>
        <w:jc w:val="both"/>
      </w:pPr>
      <w:r>
        <w:rPr>
          <w:rFonts w:ascii="Garamond" w:cs="Garamond" w:eastAsia="Garamond" w:hAnsi="Garamond"/>
          <w:sz w:val="24"/>
          <w:szCs w:val="24"/>
        </w:rPr>
        <w:t xml:space="preserve">Three ordinances, three decrees, one pattern. Together with the baptismal decree of 380 A.D. and the eucharistic decree of 1215 A.D., the marital decrees of 1074–1139 A.D. complete a triad. The political church did not seize one or two of the points at which the gospel touches the human covenantal life; it seized all three — entry (baptism), renewal (sacrament), and the family covenant that links priesthood across generations (marriage). At each point the form of the ordinance was preserved while the freely-made covenant was converted, by decree, into a legally-defined status. The Restoration’s task, by 1836, was correspondingly threefold: to restore the entry covenant in baptism with proper authority (D&amp;C 13; D&amp;C 22), to restore the renewal covenant in the sacrament administered by priesthood (D&amp;C 20:75–79), and to restore the family covenant through the sealing keys returned by Elijah (D&amp;C 110:13–16).</w:t>
      </w:r>
    </w:p>
    <w:p>
      <w:pPr>
        <w:pStyle w:val="Heading3"/>
        <w:spacing w:after="100" w:before="200"/>
      </w:pPr>
      <w:r>
        <w:rPr>
          <w:rFonts w:ascii="Garamond" w:cs="Garamond" w:eastAsia="Garamond" w:hAnsi="Garamond"/>
          <w:b/>
          <w:bCs/>
          <w:i/>
          <w:iCs/>
          <w:sz w:val="25"/>
          <w:szCs w:val="25"/>
        </w:rPr>
        <w:t xml:space="preserve">The Threefold Prophetic Fulfillment</w:t>
      </w:r>
    </w:p>
    <w:p>
      <w:pPr>
        <w:spacing w:after="80" w:before="80" w:line="300"/>
        <w:jc w:val="both"/>
      </w:pPr>
      <w:r>
        <w:rPr>
          <w:rFonts w:ascii="Garamond" w:cs="Garamond" w:eastAsia="Garamond" w:hAnsi="Garamond"/>
          <w:sz w:val="24"/>
          <w:szCs w:val="24"/>
        </w:rPr>
        <w:t xml:space="preserve">Together, the legal architecture of 380 A.D., the marital decrees of 1074–1139 A.D., and the dogmatic capstone of 1215 A.D. form, on every front, a textbook fulfillment of the prophetic pattern this paper traces.</w:t>
      </w:r>
    </w:p>
    <w:p>
      <w:pPr>
        <w:spacing w:after="80" w:before="80" w:line="300"/>
        <w:jc w:val="both"/>
      </w:pPr>
      <w:r>
        <w:rPr>
          <w:rFonts w:ascii="Garamond" w:cs="Garamond" w:eastAsia="Garamond" w:hAnsi="Garamond"/>
          <w:sz w:val="24"/>
          <w:szCs w:val="24"/>
        </w:rPr>
        <w:t xml:space="preserve">First, they fulfill Isaiah's denunciation of unrighteous decrees. Isaiah 10:1–2 condemns those who “decree unrighteous decrees, and that write grievousness which they have prescribed; to turn aside the needy from judgment.” Theodosius’s edict literally legislated that holding a different religious belief made the believer legally insane and his community legally criminal; the Lateran councils of 1123 and 1139 literally legislated that the marriage of a priest, contracted in good conscience and lawful in scripture, was a void contract and his wife no wife at all; Lateran IV in 1215 literally legislated that questioning the literal substance-change of the bread and wine was heresy. Together they are among the purest examples of unrighteous decrees in the historical record — the use of law to oppress religious minorities, dissolve covenants, and consolidate political power under the guise of orthodoxy.</w:t>
      </w:r>
    </w:p>
    <w:p>
      <w:pPr>
        <w:spacing w:after="80" w:before="80" w:line="300"/>
        <w:jc w:val="both"/>
      </w:pPr>
      <w:r>
        <w:rPr>
          <w:rFonts w:ascii="Garamond" w:cs="Garamond" w:eastAsia="Garamond" w:hAnsi="Garamond"/>
          <w:sz w:val="24"/>
          <w:szCs w:val="24"/>
        </w:rPr>
        <w:t xml:space="preserve">Second, they fulfill Daniel's vision of the abomination. Daniel foresaw a time when the daily worship would be replaced by a humanly established system enforced by political authority (Dan. 11:31; 12:11). The 380 A.D. decree completes that transition at a structural level; the marital decrees of 1074–1139 complete it at the level of the covenant that links priesthood to family across generations; the 1215 A.D. decree completes it at the level of the meal that had taken the place of the temple sacrifice. State-enforced religion, stripped of its prophetic charism and held in place by the sword, is exactly what Daniel meant by the abomination of desolation as a prophetic type — the institutional replacement of the daily.</w:t>
      </w:r>
    </w:p>
    <w:p>
      <w:pPr>
        <w:spacing w:after="80" w:before="80" w:line="300"/>
        <w:jc w:val="both"/>
      </w:pPr>
      <w:r>
        <w:rPr>
          <w:rFonts w:ascii="Garamond" w:cs="Garamond" w:eastAsia="Garamond" w:hAnsi="Garamond"/>
          <w:sz w:val="24"/>
          <w:szCs w:val="24"/>
        </w:rPr>
        <w:t xml:space="preserve">Third, they explain the precise force of Joseph Smith's First Vision. When the Lord told the boy Joseph in 1820 that “all their creeds were an abomination in his sight” (JS–H 1:19), the language was not abstract theological complaint. The creeds had a long, documented history of being weaponized by empires and councils to persecute, silence, exile, and kill those who dissented from imperially or ecclesiastically defined orthodoxy. The First Vision's verdict reads, against this background, as a precise historical-theological diagnosis: it was the creeds — as instruments of coercion and as substitutes for living revelation — that had failed.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744"/>
        <w:gridCol w:w="5616"/>
      </w:tblGrid>
      <w:tr>
        <w:trPr>
          <w:tblHeader/>
        </w:trPr>
        <w:tc>
          <w:tcPr>
            <w:tcW w:type="dxa" w:w="3744"/>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Prophetic Lens</w:t>
            </w:r>
          </w:p>
        </w:tc>
        <w:tc>
          <w:tcPr>
            <w:tcW w:type="dxa" w:w="5616"/>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How 380 A.D., 1074–1139, and 1215 A.D. Fulfill It</w:t>
            </w:r>
          </w:p>
        </w:tc>
      </w:tr>
      <w:tr>
        <w:tc>
          <w:tcPr>
            <w:tcW w:type="dxa" w:w="3744"/>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Isaiah 10:1–2 — Unrighteous decrees</w:t>
            </w:r>
          </w:p>
        </w:tc>
        <w:tc>
          <w:tcPr>
            <w:tcW w:type="dxa" w:w="5616"/>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Legislating belief, marriage, and ordinance; making dissent and lawful covenants alike a civil or canonical disability</w:t>
            </w:r>
          </w:p>
        </w:tc>
      </w:tr>
      <w:tr>
        <w:tc>
          <w:tcPr>
            <w:tcW w:type="dxa" w:w="3744"/>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Daniel — Abomination of desolation</w:t>
            </w:r>
          </w:p>
        </w:tc>
        <w:tc>
          <w:tcPr>
            <w:tcW w:type="dxa" w:w="5616"/>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State religion, severed family covenant, and dogmatized sacrament replacing apostolic worship as the new “daily”</w:t>
            </w:r>
          </w:p>
        </w:tc>
      </w:tr>
      <w:tr>
        <w:tc>
          <w:tcPr>
            <w:tcW w:type="dxa" w:w="3744"/>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JS–H 1:19 — “Creeds an abomination”</w:t>
            </w:r>
          </w:p>
        </w:tc>
        <w:tc>
          <w:tcPr>
            <w:tcW w:type="dxa" w:w="5616"/>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Identifying as historical fact what Joseph Smith was told as revelation</w:t>
            </w:r>
          </w:p>
        </w:tc>
      </w:tr>
    </w:tbl>
    <w:p>
      <w:pPr>
        <w:spacing w:after="80" w:before="80" w:line="300"/>
        <w:jc w:val="both"/>
      </w:pPr>
      <w:r>
        <w:rPr>
          <w:rFonts w:ascii="Garamond" w:cs="Garamond" w:eastAsia="Garamond" w:hAnsi="Garamond"/>
          <w:sz w:val="24"/>
          <w:szCs w:val="24"/>
        </w:rPr>
        <w:t xml:space="preserve">The 380 A.D. edict, the 1074–1139 marital decrees, and the 1215 A.D. dogmatization of the sacrament are therefore not merely interesting historical details. They are the precise legal-political and ecclesiastical moments at which Christianity acquired the configuration the prophets had foretold and Joseph Smith would one day be sent to address.</w:t>
      </w:r>
    </w:p>
    <w:p>
      <w:pPr>
        <w:pStyle w:val="Heading2"/>
        <w:spacing w:after="140" w:before="280"/>
      </w:pPr>
      <w:r>
        <w:rPr>
          <w:rFonts w:ascii="Garamond" w:cs="Garamond" w:eastAsia="Garamond" w:hAnsi="Garamond"/>
          <w:b/>
          <w:bCs/>
          <w:sz w:val="28"/>
          <w:szCs w:val="28"/>
        </w:rPr>
        <w:t xml:space="preserve">C. “Creedal Christianity” Defined</w:t>
      </w:r>
    </w:p>
    <w:p>
      <w:pPr>
        <w:spacing w:after="80" w:before="80" w:line="300"/>
        <w:jc w:val="both"/>
      </w:pPr>
      <w:r>
        <w:rPr>
          <w:rFonts w:ascii="Garamond" w:cs="Garamond" w:eastAsia="Garamond" w:hAnsi="Garamond"/>
          <w:sz w:val="24"/>
          <w:szCs w:val="24"/>
        </w:rPr>
        <w:t xml:space="preserve">Creedal Christianity means adherence to the ecumenical creeds (Apostles', Nicene, Athanasian) and agreement on doctrines like:</w:t>
      </w:r>
    </w:p>
    <w:p>
      <w:pPr>
        <w:pStyle w:val="ListParagraph"/>
        <w:numPr>
          <w:ilvl w:val="0"/>
          <w:numId w:val="2"/>
        </w:numPr>
        <w:spacing w:after="60" w:before="60" w:line="280"/>
      </w:pPr>
      <w:r>
        <w:rPr>
          <w:rFonts w:ascii="Garamond" w:cs="Garamond" w:eastAsia="Garamond" w:hAnsi="Garamond"/>
          <w:sz w:val="24"/>
          <w:szCs w:val="24"/>
        </w:rPr>
        <w:t xml:space="preserve">The Trinity — one essence, three persons.</w:t>
      </w:r>
    </w:p>
    <w:p>
      <w:pPr>
        <w:pStyle w:val="ListParagraph"/>
        <w:numPr>
          <w:ilvl w:val="0"/>
          <w:numId w:val="2"/>
        </w:numPr>
        <w:spacing w:after="60" w:before="60" w:line="280"/>
      </w:pPr>
      <w:r>
        <w:rPr>
          <w:rFonts w:ascii="Garamond" w:cs="Garamond" w:eastAsia="Garamond" w:hAnsi="Garamond"/>
          <w:sz w:val="24"/>
          <w:szCs w:val="24"/>
        </w:rPr>
        <w:t xml:space="preserve">The dual nature of Christ — fully God and fully man.</w:t>
      </w:r>
    </w:p>
    <w:p>
      <w:pPr>
        <w:pStyle w:val="ListParagraph"/>
        <w:numPr>
          <w:ilvl w:val="0"/>
          <w:numId w:val="2"/>
        </w:numPr>
        <w:spacing w:after="60" w:before="60" w:line="280"/>
      </w:pPr>
      <w:r>
        <w:rPr>
          <w:rFonts w:ascii="Garamond" w:cs="Garamond" w:eastAsia="Garamond" w:hAnsi="Garamond"/>
          <w:sz w:val="24"/>
          <w:szCs w:val="24"/>
        </w:rPr>
        <w:t xml:space="preserve">The eternal Sonship of Jesus Christ.</w:t>
      </w:r>
    </w:p>
    <w:p>
      <w:pPr>
        <w:pStyle w:val="ListParagraph"/>
        <w:numPr>
          <w:ilvl w:val="0"/>
          <w:numId w:val="2"/>
        </w:numPr>
        <w:spacing w:after="60" w:before="60" w:line="280"/>
      </w:pPr>
      <w:r>
        <w:rPr>
          <w:rFonts w:ascii="Garamond" w:cs="Garamond" w:eastAsia="Garamond" w:hAnsi="Garamond"/>
          <w:sz w:val="24"/>
          <w:szCs w:val="24"/>
        </w:rPr>
        <w:t xml:space="preserve">The conviction that these formulas represent the boundaries of orthodoxy.</w:t>
      </w:r>
    </w:p>
    <w:p>
      <w:pPr>
        <w:spacing w:after="80" w:before="80" w:line="300"/>
        <w:jc w:val="both"/>
      </w:pPr>
      <w:r>
        <w:rPr>
          <w:rFonts w:ascii="Garamond" w:cs="Garamond" w:eastAsia="Garamond" w:hAnsi="Garamond"/>
          <w:sz w:val="24"/>
          <w:szCs w:val="24"/>
        </w:rPr>
        <w:t xml:space="preserve">It is essentially post-apostolic, council-defined Christianity.</w:t>
      </w:r>
    </w:p>
    <w:p>
      <w:pPr>
        <w:pStyle w:val="Heading2"/>
        <w:spacing w:after="140" w:before="280"/>
      </w:pPr>
      <w:r>
        <w:rPr>
          <w:rFonts w:ascii="Garamond" w:cs="Garamond" w:eastAsia="Garamond" w:hAnsi="Garamond"/>
          <w:b/>
          <w:bCs/>
          <w:sz w:val="28"/>
          <w:szCs w:val="28"/>
        </w:rPr>
        <w:t xml:space="preserve">D. The Restorationist View</w:t>
      </w:r>
    </w:p>
    <w:p>
      <w:pPr>
        <w:spacing w:after="80" w:before="80" w:line="300"/>
        <w:jc w:val="both"/>
      </w:pPr>
      <w:r>
        <w:rPr>
          <w:rFonts w:ascii="Garamond" w:cs="Garamond" w:eastAsia="Garamond" w:hAnsi="Garamond"/>
          <w:sz w:val="24"/>
          <w:szCs w:val="24"/>
        </w:rPr>
        <w:t xml:space="preserve">From the Latter-day Saint perspective, the creeds were not divine revelations but philosophical definitions formulated after revelation ceased. Joseph Smith—History 1:19 records the Lord telling the boy Joseph that “all their creeds were an abomination in his sight.” On this view, the adoption of creeds marks the transition from living apostleship to institutional religion — the start of the Great Apostasy.</w:t>
      </w:r>
    </w:p>
    <w:p>
      <w:pPr>
        <w:spacing w:after="80" w:before="80" w:line="300"/>
        <w:jc w:val="both"/>
      </w:pPr>
      <w:r>
        <w:rPr>
          <w:rFonts w:ascii="Garamond" w:cs="Garamond" w:eastAsia="Garamond" w:hAnsi="Garamond"/>
          <w:sz w:val="24"/>
          <w:szCs w:val="24"/>
        </w:rPr>
        <w:t xml:space="preserve">The statement that Latter-day Saints “are not creedal Christians” is therefore accurate in the technical sense: members of The Church of Jesus Christ of Latter-day Saints affirm the divinity, atonement, and resurrection of Christ but do not subscribe to the post-apostolic creeds. They are non-creedal restorationist Christians — distinct from the creedal traditions that developed between 325 and 570 A.D.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3510"/>
        <w:gridCol w:w="3510"/>
      </w:tblGrid>
      <w:tr>
        <w:trPr>
          <w:tblHeader/>
        </w:trPr>
        <w:tc>
          <w:tcPr>
            <w:tcW w:type="dxa" w:w="234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Doctrine</w:t>
            </w:r>
          </w:p>
        </w:tc>
        <w:tc>
          <w:tcPr>
            <w:tcW w:type="dxa" w:w="351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Creedal Christianity</w:t>
            </w:r>
          </w:p>
        </w:tc>
        <w:tc>
          <w:tcPr>
            <w:tcW w:type="dxa" w:w="351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LDS Christianity</w:t>
            </w:r>
          </w:p>
        </w:tc>
      </w:tr>
      <w:tr>
        <w:tc>
          <w:tcPr>
            <w:tcW w:type="dxa" w:w="23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Nature of God</w:t>
            </w:r>
          </w:p>
        </w:tc>
        <w:tc>
          <w:tcPr>
            <w:tcW w:type="dxa" w:w="351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One God in three co-equal persons (Trinity)</w:t>
            </w:r>
          </w:p>
        </w:tc>
        <w:tc>
          <w:tcPr>
            <w:tcW w:type="dxa" w:w="351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Three separate beings united in purpose</w:t>
            </w:r>
          </w:p>
        </w:tc>
      </w:tr>
      <w:tr>
        <w:tc>
          <w:tcPr>
            <w:tcW w:type="dxa" w:w="23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Jesus Christ</w:t>
            </w:r>
          </w:p>
        </w:tc>
        <w:tc>
          <w:tcPr>
            <w:tcW w:type="dxa" w:w="351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Eternally begotten of the Father, one substance</w:t>
            </w:r>
          </w:p>
        </w:tc>
        <w:tc>
          <w:tcPr>
            <w:tcW w:type="dxa" w:w="351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Literal Son of God; distinct being</w:t>
            </w:r>
          </w:p>
        </w:tc>
      </w:tr>
      <w:tr>
        <w:tc>
          <w:tcPr>
            <w:tcW w:type="dxa" w:w="23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Scriptural authority</w:t>
            </w:r>
          </w:p>
        </w:tc>
        <w:tc>
          <w:tcPr>
            <w:tcW w:type="dxa" w:w="351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Bible (sola scriptura for Protestants)</w:t>
            </w:r>
          </w:p>
        </w:tc>
        <w:tc>
          <w:tcPr>
            <w:tcW w:type="dxa" w:w="351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Bible plus Book of Mormon, D&amp;C, Pearl of Great Price</w:t>
            </w:r>
          </w:p>
        </w:tc>
      </w:tr>
      <w:tr>
        <w:tc>
          <w:tcPr>
            <w:tcW w:type="dxa" w:w="23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Creeds</w:t>
            </w:r>
          </w:p>
        </w:tc>
        <w:tc>
          <w:tcPr>
            <w:tcW w:type="dxa" w:w="351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Affirmed and recited</w:t>
            </w:r>
          </w:p>
        </w:tc>
        <w:tc>
          <w:tcPr>
            <w:tcW w:type="dxa" w:w="351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Rejected as post-apostolic inventions</w:t>
            </w:r>
          </w:p>
        </w:tc>
      </w:tr>
    </w:tbl>
    <w:p>
      <w:pPr>
        <w:pStyle w:val="Heading2"/>
        <w:spacing w:after="140" w:before="280"/>
      </w:pPr>
      <w:r>
        <w:rPr>
          <w:rFonts w:ascii="Garamond" w:cs="Garamond" w:eastAsia="Garamond" w:hAnsi="Garamond"/>
          <w:b/>
          <w:bCs/>
          <w:sz w:val="28"/>
          <w:szCs w:val="28"/>
        </w:rPr>
        <w:t xml:space="preserve">E. 570 A.D. as the Prophetic Hinge</w:t>
      </w:r>
    </w:p>
    <w:p>
      <w:pPr>
        <w:spacing w:after="80" w:before="80" w:line="300"/>
        <w:jc w:val="both"/>
      </w:pPr>
      <w:r>
        <w:rPr>
          <w:rFonts w:ascii="Garamond" w:cs="Garamond" w:eastAsia="Garamond" w:hAnsi="Garamond"/>
          <w:sz w:val="24"/>
          <w:szCs w:val="24"/>
        </w:rPr>
        <w:t xml:space="preserve">In the restorationist scheme, 570 A.D. functions as a hinge between two epochs:</w:t>
      </w:r>
    </w:p>
    <w:p>
      <w:pPr>
        <w:pStyle w:val="ListParagraph"/>
        <w:numPr>
          <w:ilvl w:val="0"/>
          <w:numId w:val="2"/>
        </w:numPr>
        <w:spacing w:after="60" w:before="60" w:line="280"/>
      </w:pPr>
      <w:r>
        <w:rPr>
          <w:rFonts w:ascii="Garamond" w:cs="Garamond" w:eastAsia="Garamond" w:hAnsi="Garamond"/>
          <w:sz w:val="24"/>
          <w:szCs w:val="24"/>
        </w:rPr>
        <w:t xml:space="preserve">The loss of revelation begun at the fall of Israel (721 B.C.) reaches its full institutional form.</w:t>
      </w:r>
    </w:p>
    <w:p>
      <w:pPr>
        <w:pStyle w:val="ListParagraph"/>
        <w:numPr>
          <w:ilvl w:val="0"/>
          <w:numId w:val="2"/>
        </w:numPr>
        <w:spacing w:after="60" w:before="60" w:line="280"/>
      </w:pPr>
      <w:r>
        <w:rPr>
          <w:rFonts w:ascii="Garamond" w:cs="Garamond" w:eastAsia="Garamond" w:hAnsi="Garamond"/>
          <w:sz w:val="24"/>
          <w:szCs w:val="24"/>
        </w:rPr>
        <w:t xml:space="preserve">The age of creeds and councils — apostolic Christianity replaced by theology schools — fully begins.</w:t>
      </w:r>
    </w:p>
    <w:p>
      <w:pPr>
        <w:spacing w:after="80" w:before="80" w:line="300"/>
        <w:jc w:val="both"/>
      </w:pPr>
      <w:r>
        <w:rPr>
          <w:rFonts w:ascii="Garamond" w:cs="Garamond" w:eastAsia="Garamond" w:hAnsi="Garamond"/>
          <w:sz w:val="24"/>
          <w:szCs w:val="24"/>
        </w:rPr>
        <w:t xml:space="preserve">It is the symbolic moment when the “daily” (true revelatory worship) is finally and fully replaced by the “abomination” (humanly defined religious system).</w:t>
      </w:r>
    </w:p>
    <w:p>
      <w:r>
        <w:br w:type="page"/>
      </w:r>
    </w:p>
    <w:p>
      <w:pPr>
        <w:pStyle w:val="Heading1"/>
        <w:spacing w:after="240" w:before="480"/>
        <w:jc w:val="center"/>
      </w:pPr>
      <w:r>
        <w:rPr>
          <w:rFonts w:ascii="Garamond" w:cs="Garamond" w:eastAsia="Garamond" w:hAnsi="Garamond"/>
          <w:b/>
          <w:bCs/>
          <w:smallCaps/>
          <w:sz w:val="34"/>
          <w:szCs w:val="34"/>
        </w:rPr>
        <w:t xml:space="preserve">Part IV — The Prophetic Arc of Apostasy</w:t>
      </w:r>
    </w:p>
    <w:p>
      <w:pPr>
        <w:pStyle w:val="Heading1"/>
        <w:spacing w:after="180" w:before="360"/>
        <w:jc w:val="left"/>
      </w:pPr>
      <w:r>
        <w:rPr>
          <w:rFonts w:ascii="Garamond" w:cs="Garamond" w:eastAsia="Garamond" w:hAnsi="Garamond"/>
          <w:b/>
          <w:bCs/>
          <w:sz w:val="32"/>
          <w:szCs w:val="32"/>
        </w:rPr>
        <w:t xml:space="preserve">X. Malachi and the Corruption of the Covenant</w:t>
      </w:r>
    </w:p>
    <w:p>
      <w:pPr>
        <w:spacing w:after="80" w:before="80" w:line="300"/>
        <w:jc w:val="both"/>
      </w:pPr>
      <w:r>
        <w:rPr>
          <w:rFonts w:ascii="Garamond" w:cs="Garamond" w:eastAsia="Garamond" w:hAnsi="Garamond"/>
          <w:sz w:val="24"/>
          <w:szCs w:val="24"/>
        </w:rPr>
        <w:t xml:space="preserve">The book of Malachi, the final prophet of the Old Testament (circa 430 B.C.), portrays Israel at a moment of deep covenantal decline. Outwardly devout, the priests and people had reduced divine worship to hollow ritual.</w:t>
      </w:r>
    </w:p>
    <w:p>
      <w:pPr>
        <w:pStyle w:val="Heading2"/>
        <w:spacing w:after="140" w:before="280"/>
      </w:pPr>
      <w:r>
        <w:rPr>
          <w:rFonts w:ascii="Garamond" w:cs="Garamond" w:eastAsia="Garamond" w:hAnsi="Garamond"/>
          <w:b/>
          <w:bCs/>
          <w:sz w:val="28"/>
          <w:szCs w:val="28"/>
        </w:rPr>
        <w:t xml:space="preserve">A. The Charge</w:t>
      </w:r>
    </w:p>
    <w:p>
      <w:pPr>
        <w:spacing w:after="120" w:before="120" w:line="280"/>
        <w:ind w:left="720" w:right="720"/>
        <w:jc w:val="both"/>
      </w:pPr>
      <w:r>
        <w:rPr>
          <w:rFonts w:ascii="Garamond" w:cs="Garamond" w:eastAsia="Garamond" w:hAnsi="Garamond"/>
          <w:i/>
          <w:iCs/>
          <w:sz w:val="22"/>
          <w:szCs w:val="22"/>
        </w:rPr>
        <w:t xml:space="preserve">Malachi 1:6–7, 10: “A son honoureth his father… If then I be a father, where is mine honour?… Ye offer polluted bread upon mine altar… Who is there even among you that would shut the doors for nought?”</w:t>
      </w:r>
    </w:p>
    <w:p>
      <w:pPr>
        <w:spacing w:after="120" w:before="120" w:line="280"/>
        <w:ind w:left="720" w:right="720"/>
        <w:jc w:val="both"/>
      </w:pPr>
      <w:r>
        <w:rPr>
          <w:rFonts w:ascii="Garamond" w:cs="Garamond" w:eastAsia="Garamond" w:hAnsi="Garamond"/>
          <w:i/>
          <w:iCs/>
          <w:sz w:val="22"/>
          <w:szCs w:val="22"/>
        </w:rPr>
        <w:t xml:space="preserve">Malachi 2:8–9: “Ye are departed out of the way; ye have caused many to stumble at the law; ye have corrupted the covenant of Levi.”</w:t>
      </w:r>
    </w:p>
    <w:p>
      <w:pPr>
        <w:spacing w:after="80" w:before="80" w:line="300"/>
        <w:jc w:val="both"/>
      </w:pPr>
      <w:r>
        <w:rPr>
          <w:rFonts w:ascii="Garamond" w:cs="Garamond" w:eastAsia="Garamond" w:hAnsi="Garamond"/>
          <w:sz w:val="24"/>
          <w:szCs w:val="24"/>
        </w:rPr>
        <w:t xml:space="preserve">The Levitical priests — keepers of temple worship — had turned sacred ordinances into perfunctory ritual. The covenant of Levi was corrupted, not abolished: form remained while substance fled.</w:t>
      </w:r>
    </w:p>
    <w:p>
      <w:pPr>
        <w:pStyle w:val="Heading2"/>
        <w:spacing w:after="140" w:before="280"/>
      </w:pPr>
      <w:r>
        <w:rPr>
          <w:rFonts w:ascii="Garamond" w:cs="Garamond" w:eastAsia="Garamond" w:hAnsi="Garamond"/>
          <w:b/>
          <w:bCs/>
          <w:sz w:val="28"/>
          <w:szCs w:val="28"/>
        </w:rPr>
        <w:t xml:space="preserve">B. The Four-Stage Corruption Behind Malachi's Lament</w:t>
      </w:r>
    </w:p>
    <w:p>
      <w:pPr>
        <w:spacing w:after="80" w:before="80" w:line="300"/>
        <w:jc w:val="both"/>
      </w:pPr>
      <w:r>
        <w:rPr>
          <w:rFonts w:ascii="Garamond" w:cs="Garamond" w:eastAsia="Garamond" w:hAnsi="Garamond"/>
          <w:sz w:val="24"/>
          <w:szCs w:val="24"/>
        </w:rPr>
        <w:t xml:space="preserve">Malachi's accusation did not arise from a single event. The Old Testament records a long, repeated cycle in which the Levitical offering was hollowed out from within — first in motive, then in object, finally in the integrity of the sacrifice itself. Four episodes mark the descent.</w:t>
      </w:r>
    </w:p>
    <w:p>
      <w:pPr>
        <w:pStyle w:val="Heading3"/>
        <w:spacing w:after="100" w:before="200"/>
      </w:pPr>
      <w:r>
        <w:rPr>
          <w:rFonts w:ascii="Garamond" w:cs="Garamond" w:eastAsia="Garamond" w:hAnsi="Garamond"/>
          <w:b/>
          <w:bCs/>
          <w:i/>
          <w:iCs/>
          <w:sz w:val="25"/>
          <w:szCs w:val="25"/>
        </w:rPr>
        <w:t xml:space="preserve">1. Corruption for personal gain (the sons of Eli)</w:t>
      </w:r>
    </w:p>
    <w:p>
      <w:pPr>
        <w:spacing w:after="80" w:before="80" w:line="300"/>
        <w:jc w:val="both"/>
      </w:pPr>
      <w:r>
        <w:rPr>
          <w:rFonts w:ascii="Garamond" w:cs="Garamond" w:eastAsia="Garamond" w:hAnsi="Garamond"/>
          <w:sz w:val="24"/>
          <w:szCs w:val="24"/>
        </w:rPr>
        <w:t xml:space="preserve">During the period of the Judges, before the Temple was even built, the High Priest Eli's sons (Hophni and Phinehas) abused their priesthood office at the Tabernacle in Shiloh. They forcefully took the best cuts of meat from the sacrifices for themselves before the fat was burned to the Lord (1 Samuel 2:12–17, 29). The text says, “the sin of the young men was very great before the Lord: for men abhorred the offering of the Lord.” God cursed Eli's lineage, prophesying that his descendants would lose their authority — the first canonical sign that the offering and the office could be separated.</w:t>
      </w:r>
    </w:p>
    <w:p>
      <w:pPr>
        <w:pStyle w:val="Heading3"/>
        <w:spacing w:after="100" w:before="200"/>
      </w:pPr>
      <w:r>
        <w:rPr>
          <w:rFonts w:ascii="Garamond" w:cs="Garamond" w:eastAsia="Garamond" w:hAnsi="Garamond"/>
          <w:b/>
          <w:bCs/>
          <w:i/>
          <w:iCs/>
          <w:sz w:val="25"/>
          <w:szCs w:val="25"/>
        </w:rPr>
        <w:t xml:space="preserve">2. Hollow ritual and hypocrisy (the era of Isaiah)</w:t>
      </w:r>
    </w:p>
    <w:p>
      <w:pPr>
        <w:spacing w:after="80" w:before="80" w:line="300"/>
        <w:jc w:val="both"/>
      </w:pPr>
      <w:r>
        <w:rPr>
          <w:rFonts w:ascii="Garamond" w:cs="Garamond" w:eastAsia="Garamond" w:hAnsi="Garamond"/>
          <w:sz w:val="24"/>
          <w:szCs w:val="24"/>
        </w:rPr>
        <w:t xml:space="preserve">By the era of the First Temple, the mechanics of sacrifice continued, but priests and people had grown wicked. God explicitly rejected their offerings as hypocritical: “To what purpose is the multitude of your sacrifices unto me?… I delight not in the blood of bullocks, or of lambs, or of he goats… bring no more vain oblations… your hands are full of blood” (Isaiah 1:11–15). The offerings were technically present but entirely void of righteousness.</w:t>
      </w:r>
    </w:p>
    <w:p>
      <w:pPr>
        <w:pStyle w:val="Heading3"/>
        <w:spacing w:after="100" w:before="200"/>
      </w:pPr>
      <w:r>
        <w:rPr>
          <w:rFonts w:ascii="Garamond" w:cs="Garamond" w:eastAsia="Garamond" w:hAnsi="Garamond"/>
          <w:b/>
          <w:bCs/>
          <w:i/>
          <w:iCs/>
          <w:sz w:val="25"/>
          <w:szCs w:val="25"/>
        </w:rPr>
        <w:t xml:space="preserve">3. Idolatry within the Levites (the era of Ezekiel)</w:t>
      </w:r>
    </w:p>
    <w:p>
      <w:pPr>
        <w:spacing w:after="80" w:before="80" w:line="300"/>
        <w:jc w:val="both"/>
      </w:pPr>
      <w:r>
        <w:rPr>
          <w:rFonts w:ascii="Garamond" w:cs="Garamond" w:eastAsia="Garamond" w:hAnsi="Garamond"/>
          <w:sz w:val="24"/>
          <w:szCs w:val="24"/>
        </w:rPr>
        <w:t xml:space="preserve">Before and during the Babylonian exile, many of the Levites abandoned the Lord to officiate in the worship of pagan idols. Because the Levites “went astray from me after their idols” (Ezekiel 44:10–13), God stripped them of their higher priestly duties, declaring they would bear their iniquity and no longer be allowed to come near to Him to do the office of a priest — restricted thereafter to the lesser, logistical maintenance of the temple gates and the slaughtering of animals.</w:t>
      </w:r>
    </w:p>
    <w:p>
      <w:pPr>
        <w:pStyle w:val="Heading3"/>
        <w:spacing w:after="100" w:before="200"/>
      </w:pPr>
      <w:r>
        <w:rPr>
          <w:rFonts w:ascii="Garamond" w:cs="Garamond" w:eastAsia="Garamond" w:hAnsi="Garamond"/>
          <w:b/>
          <w:bCs/>
          <w:i/>
          <w:iCs/>
          <w:sz w:val="25"/>
          <w:szCs w:val="25"/>
        </w:rPr>
        <w:t xml:space="preserve">4. Polluted offerings (the direct catalyst for Malachi)</w:t>
      </w:r>
    </w:p>
    <w:p>
      <w:pPr>
        <w:spacing w:after="80" w:before="80" w:line="300"/>
        <w:jc w:val="both"/>
      </w:pPr>
      <w:r>
        <w:rPr>
          <w:rFonts w:ascii="Garamond" w:cs="Garamond" w:eastAsia="Garamond" w:hAnsi="Garamond"/>
          <w:sz w:val="24"/>
          <w:szCs w:val="24"/>
        </w:rPr>
        <w:t xml:space="preserve">After the return from Babylon and the rebuilding of the Second Temple, the priests grew apathetic. Instead of the unblemished animals required by the Law of Moses, they offered stolen, lame, sick, and blind animals to save money and effort. “Ye offer polluted bread upon mine altar… And if ye offer the blind for sacrifice, is it not evil? and if ye offer the lame and sick, is it not evil?” (Malachi 1:6–14). The priesthood was actively officiating in the rebuilt Temple, but their offerings had become unacceptable to God. They had treated the altar with contempt.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80"/>
        <w:gridCol w:w="2080"/>
        <w:gridCol w:w="2080"/>
        <w:gridCol w:w="3120"/>
      </w:tblGrid>
      <w:tr>
        <w:trPr>
          <w:tblHeader/>
        </w:trPr>
        <w:tc>
          <w:tcPr>
            <w:tcW w:type="dxa" w:w="208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Stage</w:t>
            </w:r>
          </w:p>
        </w:tc>
        <w:tc>
          <w:tcPr>
            <w:tcW w:type="dxa" w:w="208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Era</w:t>
            </w:r>
          </w:p>
        </w:tc>
        <w:tc>
          <w:tcPr>
            <w:tcW w:type="dxa" w:w="208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Mode of Corruption</w:t>
            </w:r>
          </w:p>
        </w:tc>
        <w:tc>
          <w:tcPr>
            <w:tcW w:type="dxa" w:w="312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Reference</w:t>
            </w:r>
          </w:p>
        </w:tc>
      </w:tr>
      <w:tr>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1</w:t>
            </w:r>
          </w:p>
        </w:tc>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Judges (Shiloh)</w:t>
            </w:r>
          </w:p>
        </w:tc>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Priestly greed; theft from the altar</w:t>
            </w:r>
          </w:p>
        </w:tc>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1 Samuel 2:12–17, 29</w:t>
            </w:r>
          </w:p>
        </w:tc>
      </w:tr>
      <w:tr>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2</w:t>
            </w:r>
          </w:p>
        </w:tc>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First Temple (Isaiah)</w:t>
            </w:r>
          </w:p>
        </w:tc>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Hollow ritual; hypocrisy</w:t>
            </w:r>
          </w:p>
        </w:tc>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Isaiah 1:11–15</w:t>
            </w:r>
          </w:p>
        </w:tc>
      </w:tr>
      <w:tr>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3</w:t>
            </w:r>
          </w:p>
        </w:tc>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Exilic / Ezekiel</w:t>
            </w:r>
          </w:p>
        </w:tc>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Levites turn to idolatry</w:t>
            </w:r>
          </w:p>
        </w:tc>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Ezekiel 44:10–13</w:t>
            </w:r>
          </w:p>
        </w:tc>
      </w:tr>
      <w:tr>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4</w:t>
            </w:r>
          </w:p>
        </w:tc>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Second Temple (Malachi)</w:t>
            </w:r>
          </w:p>
        </w:tc>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Polluted, defective sacrifices</w:t>
            </w:r>
          </w:p>
        </w:tc>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Malachi 1:6–14</w:t>
            </w:r>
          </w:p>
        </w:tc>
      </w:tr>
    </w:tbl>
    <w:p>
      <w:pPr>
        <w:spacing w:after="80" w:before="80" w:line="300"/>
        <w:jc w:val="both"/>
      </w:pPr>
      <w:r>
        <w:rPr>
          <w:rFonts w:ascii="Garamond" w:cs="Garamond" w:eastAsia="Garamond" w:hAnsi="Garamond"/>
          <w:sz w:val="24"/>
          <w:szCs w:val="24"/>
        </w:rPr>
        <w:t xml:space="preserve">This is the historical weight behind Malachi's verdict: by the time he wrote, the priesthood had been hollowed out by greed, formalism, idolatry, and finally by the offering of physically defective sacrifices. The covenant of Levi had not collapsed all at once; it had been ground down across centuries. Only a refining fire could restore it.</w:t>
      </w:r>
    </w:p>
    <w:p>
      <w:pPr>
        <w:pStyle w:val="Heading2"/>
        <w:spacing w:after="140" w:before="280"/>
      </w:pPr>
      <w:r>
        <w:rPr>
          <w:rFonts w:ascii="Garamond" w:cs="Garamond" w:eastAsia="Garamond" w:hAnsi="Garamond"/>
          <w:b/>
          <w:bCs/>
          <w:sz w:val="28"/>
          <w:szCs w:val="28"/>
        </w:rPr>
        <w:t xml:space="preserve">C. The Promise</w:t>
      </w:r>
    </w:p>
    <w:p>
      <w:pPr>
        <w:spacing w:after="120" w:before="120" w:line="280"/>
        <w:ind w:left="720" w:right="720"/>
        <w:jc w:val="both"/>
      </w:pPr>
      <w:r>
        <w:rPr>
          <w:rFonts w:ascii="Garamond" w:cs="Garamond" w:eastAsia="Garamond" w:hAnsi="Garamond"/>
          <w:i/>
          <w:iCs/>
          <w:sz w:val="22"/>
          <w:szCs w:val="22"/>
        </w:rPr>
        <w:t xml:space="preserve">Malachi 3:3–4: “And he shall sit as a refiner and purifier of silver: and he shall purify the sons of Levi, and purge them as gold and silver, that they may offer unto the Lord an offering in righteousness.”</w:t>
      </w:r>
    </w:p>
    <w:p>
      <w:pPr>
        <w:spacing w:after="120" w:before="120" w:line="280"/>
        <w:ind w:left="720" w:right="720"/>
        <w:jc w:val="both"/>
      </w:pPr>
      <w:r>
        <w:rPr>
          <w:rFonts w:ascii="Garamond" w:cs="Garamond" w:eastAsia="Garamond" w:hAnsi="Garamond"/>
          <w:i/>
          <w:iCs/>
          <w:sz w:val="22"/>
          <w:szCs w:val="22"/>
        </w:rPr>
        <w:t xml:space="preserve">Malachi 4:5–6: “Behold, I will send you Elijah the prophet before the coming of the great and dreadful day of the Lord: and he shall turn the heart of the fathers to the children, and the heart of the children to their fathers.”</w:t>
      </w:r>
    </w:p>
    <w:p>
      <w:pPr>
        <w:spacing w:after="80" w:before="80" w:line="300"/>
        <w:jc w:val="both"/>
      </w:pPr>
      <w:r>
        <w:rPr>
          <w:rFonts w:ascii="Garamond" w:cs="Garamond" w:eastAsia="Garamond" w:hAnsi="Garamond"/>
          <w:sz w:val="24"/>
          <w:szCs w:val="24"/>
        </w:rPr>
        <w:t xml:space="preserve">Malachi closes the Old Testament canon with both diagnosis and remedy: the law and priesthood had become mechanical; the hearts of the people were far from God; and the solution would be a restoration of covenant power through Elijah's return before the last days.</w:t>
      </w:r>
    </w:p>
    <w:p>
      <w:pPr>
        <w:pStyle w:val="Heading2"/>
        <w:spacing w:after="140" w:before="280"/>
      </w:pPr>
      <w:r>
        <w:rPr>
          <w:rFonts w:ascii="Garamond" w:cs="Garamond" w:eastAsia="Garamond" w:hAnsi="Garamond"/>
          <w:b/>
          <w:bCs/>
          <w:sz w:val="28"/>
          <w:szCs w:val="28"/>
        </w:rPr>
        <w:t xml:space="preserve">D. The “Sons of Levi Offering Again”</w:t>
      </w:r>
    </w:p>
    <w:p>
      <w:pPr>
        <w:spacing w:after="80" w:before="80" w:line="300"/>
        <w:jc w:val="both"/>
      </w:pPr>
      <w:r>
        <w:rPr>
          <w:rFonts w:ascii="Garamond" w:cs="Garamond" w:eastAsia="Garamond" w:hAnsi="Garamond"/>
          <w:sz w:val="24"/>
          <w:szCs w:val="24"/>
        </w:rPr>
        <w:t xml:space="preserve">D&amp;C 13:1 quotes Malachi almost verbatim when John the Baptist confers the Aaronic Priesthood on May 15, 1829: “Upon you my fellow servants… I confer the Priesthood of Aaron… until the sons of Levi do offer again an offering unto the Lord in righteousness.”</w:t>
      </w:r>
    </w:p>
    <w:p>
      <w:pPr>
        <w:spacing w:after="80" w:before="80" w:line="300"/>
        <w:jc w:val="both"/>
      </w:pPr>
      <w:r>
        <w:rPr>
          <w:rFonts w:ascii="Garamond" w:cs="Garamond" w:eastAsia="Garamond" w:hAnsi="Garamond"/>
          <w:sz w:val="24"/>
          <w:szCs w:val="24"/>
        </w:rPr>
        <w:t xml:space="preserve">The “offering” carries two layers of meaning. In the literal/future temple sense, a future day in which temple service will again include sanctified offerings — not animal blood, but sacred ritual acts performed under priesthood authority. In the spiritual/present sense, even now, “sons of Levi” and all covenant members offer sacrifices of righteousness through broken hearts and contrite spirits (Ps. 51:17; 3 Ne. 9:20), temple covenants, and the sacrament.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Prophetic Element (Mal. 3)</w:t>
            </w:r>
          </w:p>
        </w:tc>
        <w:tc>
          <w:tcPr>
            <w:tcW w:type="dxa" w:w="468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Restoration Fulfillment</w:t>
            </w:r>
          </w:p>
        </w:tc>
      </w:tr>
      <w:tr>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“He shall purify the sons of Levi”</w:t>
            </w:r>
          </w:p>
        </w:tc>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John the Baptist restores Aaronic Priesthood, 1829</w:t>
            </w:r>
          </w:p>
        </w:tc>
      </w:tr>
      <w:tr>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“They may offer… an offering in righteousness”</w:t>
            </w:r>
          </w:p>
        </w:tc>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Temple ordinances, sealing, record of the living and dead</w:t>
            </w:r>
          </w:p>
        </w:tc>
      </w:tr>
      <w:tr>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“Offering pleasant as in days of old”</w:t>
            </w:r>
          </w:p>
        </w:tc>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Restoration of worship under true priesthood authority</w:t>
            </w:r>
          </w:p>
        </w:tc>
      </w:tr>
    </w:tbl>
    <w:p>
      <w:pPr>
        <w:pStyle w:val="Heading2"/>
        <w:spacing w:after="140" w:before="280"/>
      </w:pPr>
      <w:r>
        <w:rPr>
          <w:rFonts w:ascii="Garamond" w:cs="Garamond" w:eastAsia="Garamond" w:hAnsi="Garamond"/>
          <w:b/>
          <w:bCs/>
          <w:sz w:val="28"/>
          <w:szCs w:val="28"/>
        </w:rPr>
        <w:t xml:space="preserve">E. The Modern Offering Defined: The Records of the Dead</w:t>
      </w:r>
    </w:p>
    <w:p>
      <w:pPr>
        <w:spacing w:after="80" w:before="80" w:line="300"/>
        <w:jc w:val="both"/>
      </w:pPr>
      <w:r>
        <w:rPr>
          <w:rFonts w:ascii="Garamond" w:cs="Garamond" w:eastAsia="Garamond" w:hAnsi="Garamond"/>
          <w:sz w:val="24"/>
          <w:szCs w:val="24"/>
        </w:rPr>
        <w:t xml:space="preserve">The most explicit definition of what the restored “offering in righteousness” would actually consist of comes from Joseph Smith himself. In a letter dated September 6, 1842, canonized as Doctrine and Covenants 128, the Prophet quotes Malachi 3:2–3 directly and then specifies what the modern fulfillment looks like:</w:t>
      </w:r>
    </w:p>
    <w:p>
      <w:pPr>
        <w:spacing w:after="120" w:before="120" w:line="280"/>
        <w:ind w:left="720" w:right="720"/>
        <w:jc w:val="both"/>
      </w:pPr>
      <w:r>
        <w:rPr>
          <w:rFonts w:ascii="Garamond" w:cs="Garamond" w:eastAsia="Garamond" w:hAnsi="Garamond"/>
          <w:i/>
          <w:iCs/>
          <w:sz w:val="22"/>
          <w:szCs w:val="22"/>
        </w:rPr>
        <w:t xml:space="preserve">“Let us, therefore, as a church and a people, and as Latter-day Saints, offer unto the Lord an offering in righteousness; and let us present in his holy temple, when it is finished, a book containing the records of our dead, which shall be worthy of all acceptation.” — Doctrine and Covenants 128:24.</w:t>
      </w:r>
    </w:p>
    <w:p>
      <w:pPr>
        <w:spacing w:after="80" w:before="80" w:line="300"/>
        <w:jc w:val="both"/>
      </w:pPr>
      <w:r>
        <w:rPr>
          <w:rFonts w:ascii="Garamond" w:cs="Garamond" w:eastAsia="Garamond" w:hAnsi="Garamond"/>
          <w:sz w:val="24"/>
          <w:szCs w:val="24"/>
        </w:rPr>
        <w:t xml:space="preserve">The redefinition is striking. Anciently, the Aaronic Priesthood and the sons of Levi managed the logistics of animal sacrifice in the Tabernacle and Temple. The future “offerings” Malachi spoke of are not a return to that. The offering Joseph Smith identifies is a genealogical and ordinance work — the assembled record of the human family, gathered in temples, presented under priesthood authority. In this, two ancient threads converge in a single act:</w:t>
      </w:r>
    </w:p>
    <w:p>
      <w:pPr>
        <w:pStyle w:val="ListParagraph"/>
        <w:numPr>
          <w:ilvl w:val="0"/>
          <w:numId w:val="2"/>
        </w:numPr>
        <w:spacing w:after="60" w:before="60" w:line="280"/>
      </w:pPr>
      <w:r>
        <w:rPr>
          <w:rFonts w:ascii="Garamond" w:cs="Garamond" w:eastAsia="Garamond" w:hAnsi="Garamond"/>
          <w:sz w:val="24"/>
          <w:szCs w:val="24"/>
        </w:rPr>
        <w:t xml:space="preserve">Malachi's prophecy of Elijah turning the hearts of the fathers and the children (Mal. 4:5–6) finds its working form in temple sealing and family-history work.</w:t>
      </w:r>
    </w:p>
    <w:p>
      <w:pPr>
        <w:pStyle w:val="ListParagraph"/>
        <w:numPr>
          <w:ilvl w:val="0"/>
          <w:numId w:val="2"/>
        </w:numPr>
        <w:spacing w:after="60" w:before="60" w:line="280"/>
      </w:pPr>
      <w:r>
        <w:rPr>
          <w:rFonts w:ascii="Garamond" w:cs="Garamond" w:eastAsia="Garamond" w:hAnsi="Garamond"/>
          <w:sz w:val="24"/>
          <w:szCs w:val="24"/>
        </w:rPr>
        <w:t xml:space="preserve">Malachi's promise that the sons of Levi would again offer in righteousness finds its working form in proxy ordinances performed for the dead.</w:t>
      </w:r>
    </w:p>
    <w:p>
      <w:pPr>
        <w:spacing w:after="80" w:before="80" w:line="300"/>
        <w:jc w:val="both"/>
      </w:pPr>
      <w:r>
        <w:rPr>
          <w:rFonts w:ascii="Garamond" w:cs="Garamond" w:eastAsia="Garamond" w:hAnsi="Garamond"/>
          <w:sz w:val="24"/>
          <w:szCs w:val="24"/>
        </w:rPr>
        <w:t xml:space="preserve">On this reading, the Restoration does not simply rebuild the altar; it transposes it. The altar of beasts becomes the altar of records. The sacrifice of slain animals is replaced by the sealing of generations. What was lost across the four-stage corruption — first the motive, then the heart, then the office, finally the offering itself — is restored not in kind but in substance: a higher offering, made possible only by the sealing keys returned through Elijah in 1836 (D&amp;C 110:13–16).</w:t>
      </w:r>
    </w:p>
    <w:p>
      <w:pPr>
        <w:pStyle w:val="Heading1"/>
        <w:spacing w:after="180" w:before="360"/>
        <w:jc w:val="left"/>
      </w:pPr>
      <w:r>
        <w:rPr>
          <w:rFonts w:ascii="Garamond" w:cs="Garamond" w:eastAsia="Garamond" w:hAnsi="Garamond"/>
          <w:b/>
          <w:bCs/>
          <w:sz w:val="32"/>
          <w:szCs w:val="32"/>
        </w:rPr>
        <w:t xml:space="preserve">XI. The “Lips Without Heart” Motif — Isaiah and the Continuity of Apostasy</w:t>
      </w:r>
    </w:p>
    <w:p>
      <w:pPr>
        <w:pStyle w:val="Heading2"/>
        <w:spacing w:after="140" w:before="280"/>
      </w:pPr>
      <w:r>
        <w:rPr>
          <w:rFonts w:ascii="Garamond" w:cs="Garamond" w:eastAsia="Garamond" w:hAnsi="Garamond"/>
          <w:b/>
          <w:bCs/>
          <w:sz w:val="28"/>
          <w:szCs w:val="28"/>
        </w:rPr>
        <w:t xml:space="preserve">A. Isaiah's Diagnosis</w:t>
      </w:r>
    </w:p>
    <w:p>
      <w:pPr>
        <w:spacing w:after="120" w:before="120" w:line="280"/>
        <w:ind w:left="720" w:right="720"/>
        <w:jc w:val="both"/>
      </w:pPr>
      <w:r>
        <w:rPr>
          <w:rFonts w:ascii="Garamond" w:cs="Garamond" w:eastAsia="Garamond" w:hAnsi="Garamond"/>
          <w:i/>
          <w:iCs/>
          <w:sz w:val="22"/>
          <w:szCs w:val="22"/>
        </w:rPr>
        <w:t xml:space="preserve">Isaiah 29:13: “This people draw near me with their mouth, and with their lips do honour me, but have removed their heart far from me.”</w:t>
      </w:r>
    </w:p>
    <w:p>
      <w:pPr>
        <w:spacing w:after="80" w:before="80" w:line="300"/>
        <w:jc w:val="both"/>
      </w:pPr>
      <w:r>
        <w:rPr>
          <w:rFonts w:ascii="Garamond" w:cs="Garamond" w:eastAsia="Garamond" w:hAnsi="Garamond"/>
          <w:sz w:val="24"/>
          <w:szCs w:val="24"/>
        </w:rPr>
        <w:t xml:space="preserve">The phrase captures ritual orthodoxy without spiritual vitality — a condition later confronted by Jesus Himself (Matt. 15:8–9) and, centuries afterward, by the Lord in His message to the boy Joseph Smith.</w:t>
      </w:r>
    </w:p>
    <w:p>
      <w:pPr>
        <w:pStyle w:val="Heading2"/>
        <w:spacing w:after="140" w:before="280"/>
      </w:pPr>
      <w:r>
        <w:rPr>
          <w:rFonts w:ascii="Garamond" w:cs="Garamond" w:eastAsia="Garamond" w:hAnsi="Garamond"/>
          <w:b/>
          <w:bCs/>
          <w:sz w:val="28"/>
          <w:szCs w:val="28"/>
        </w:rPr>
        <w:t xml:space="preserve">B. Isaiah and Insincere Sacrifice</w:t>
      </w:r>
    </w:p>
    <w:p>
      <w:pPr>
        <w:spacing w:after="120" w:before="120" w:line="280"/>
        <w:ind w:left="720" w:right="720"/>
        <w:jc w:val="both"/>
      </w:pPr>
      <w:r>
        <w:rPr>
          <w:rFonts w:ascii="Garamond" w:cs="Garamond" w:eastAsia="Garamond" w:hAnsi="Garamond"/>
          <w:i/>
          <w:iCs/>
          <w:sz w:val="22"/>
          <w:szCs w:val="22"/>
        </w:rPr>
        <w:t xml:space="preserve">Isaiah 1:11–13: “To what purpose is the multitude of your sacrifices unto me? saith the Lord: I am full of the burnt offerings of rams… Bring no more vain oblations; incense is an abomination unto me; the new moons and sabbaths, the calling of assemblies, I cannot away with; it is iniquity, even the solemn meeting.”</w:t>
      </w:r>
    </w:p>
    <w:p>
      <w:pPr>
        <w:spacing w:after="80" w:before="80" w:line="300"/>
        <w:jc w:val="both"/>
      </w:pPr>
      <w:r>
        <w:rPr>
          <w:rFonts w:ascii="Garamond" w:cs="Garamond" w:eastAsia="Garamond" w:hAnsi="Garamond"/>
          <w:sz w:val="24"/>
          <w:szCs w:val="24"/>
        </w:rPr>
        <w:t xml:space="preserve">Isaiah is not condemning sacrifice itself — temple sacrifice was commanded — but the empty ritualism of the people. They offered animals without offering hearts. God demands repentance and justice instead: “Wash you, make you clean;… seek judgment, relieve the oppressed” (Isa. 1:16–17).</w:t>
      </w:r>
    </w:p>
    <w:p>
      <w:pPr>
        <w:spacing w:after="80" w:before="80" w:line="300"/>
        <w:jc w:val="both"/>
      </w:pPr>
      <w:r>
        <w:rPr>
          <w:rFonts w:ascii="Garamond" w:cs="Garamond" w:eastAsia="Garamond" w:hAnsi="Garamond"/>
          <w:sz w:val="24"/>
          <w:szCs w:val="24"/>
        </w:rPr>
        <w:t xml:space="preserve">The movement Isaiah charts is from Isaiah 1 (false, insincere worship → judgment) to Isaiah 11 (true, Spirit-filled worship → restoration through “a rod out of the stem of Jesse”). When ordinances lose the power of godliness, they become “vain oblations”; when they are renewed by Spirit and priesthood keys, they once again express real covenant devotion.</w:t>
      </w:r>
    </w:p>
    <w:p>
      <w:pPr>
        <w:pStyle w:val="Heading2"/>
        <w:spacing w:after="140" w:before="280"/>
      </w:pPr>
      <w:r>
        <w:rPr>
          <w:rFonts w:ascii="Garamond" w:cs="Garamond" w:eastAsia="Garamond" w:hAnsi="Garamond"/>
          <w:b/>
          <w:bCs/>
          <w:sz w:val="28"/>
          <w:szCs w:val="28"/>
        </w:rPr>
        <w:t xml:space="preserve">C. The Pattern Across Dispensations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3120"/>
        <w:gridCol w:w="3640"/>
      </w:tblGrid>
      <w:tr>
        <w:trPr>
          <w:tblHeader/>
        </w:trPr>
        <w:tc>
          <w:tcPr>
            <w:tcW w:type="dxa" w:w="260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Prophet</w:t>
            </w:r>
          </w:p>
        </w:tc>
        <w:tc>
          <w:tcPr>
            <w:tcW w:type="dxa" w:w="312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Setting</w:t>
            </w:r>
          </w:p>
        </w:tc>
        <w:tc>
          <w:tcPr>
            <w:tcW w:type="dxa" w:w="364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Message</w:t>
            </w:r>
          </w:p>
        </w:tc>
      </w:tr>
      <w:tr>
        <w:tc>
          <w:tcPr>
            <w:tcW w:type="dxa" w:w="260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Isaiah</w:t>
            </w:r>
          </w:p>
        </w:tc>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Apostate Judah</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Worship by habit, not by heart</w:t>
            </w:r>
          </w:p>
        </w:tc>
      </w:tr>
      <w:tr>
        <w:tc>
          <w:tcPr>
            <w:tcW w:type="dxa" w:w="260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Malachi</w:t>
            </w:r>
          </w:p>
        </w:tc>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Corrupt priesthood</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Ordinances without spirit</w:t>
            </w:r>
          </w:p>
        </w:tc>
      </w:tr>
      <w:tr>
        <w:tc>
          <w:tcPr>
            <w:tcW w:type="dxa" w:w="260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Jesus</w:t>
            </w:r>
          </w:p>
        </w:tc>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Pharisaic religion</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Traditions replacing revelation</w:t>
            </w:r>
          </w:p>
        </w:tc>
      </w:tr>
      <w:tr>
        <w:tc>
          <w:tcPr>
            <w:tcW w:type="dxa" w:w="260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Joseph Smith (1820–1830)</w:t>
            </w:r>
          </w:p>
        </w:tc>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Apostate Christendom</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Creeds and ordinances without divine authority</w:t>
            </w:r>
          </w:p>
        </w:tc>
      </w:tr>
    </w:tbl>
    <w:p>
      <w:pPr>
        <w:spacing w:after="80" w:before="80" w:line="300"/>
        <w:jc w:val="both"/>
      </w:pPr>
      <w:r>
        <w:rPr>
          <w:rFonts w:ascii="Garamond" w:cs="Garamond" w:eastAsia="Garamond" w:hAnsi="Garamond"/>
          <w:sz w:val="24"/>
          <w:szCs w:val="24"/>
        </w:rPr>
        <w:t xml:space="preserve">All four moments describe the same spiritual condition: a covenant community outwardly religious but inwardly dead.</w:t>
      </w:r>
    </w:p>
    <w:p>
      <w:pPr>
        <w:pStyle w:val="Heading2"/>
        <w:spacing w:after="140" w:before="280"/>
      </w:pPr>
      <w:r>
        <w:rPr>
          <w:rFonts w:ascii="Garamond" w:cs="Garamond" w:eastAsia="Garamond" w:hAnsi="Garamond"/>
          <w:b/>
          <w:bCs/>
          <w:sz w:val="28"/>
          <w:szCs w:val="28"/>
        </w:rPr>
        <w:t xml:space="preserve">D. The First Vision Quotes Isaiah</w:t>
      </w:r>
    </w:p>
    <w:p>
      <w:pPr>
        <w:spacing w:after="80" w:before="80" w:line="300"/>
        <w:jc w:val="both"/>
      </w:pPr>
      <w:r>
        <w:rPr>
          <w:rFonts w:ascii="Garamond" w:cs="Garamond" w:eastAsia="Garamond" w:hAnsi="Garamond"/>
          <w:sz w:val="24"/>
          <w:szCs w:val="24"/>
        </w:rPr>
        <w:t xml:space="preserve">When Joseph Smith records the Lord's words in 1820, the quotation is unmistakable:</w:t>
      </w:r>
    </w:p>
    <w:p>
      <w:pPr>
        <w:spacing w:after="120" w:before="120" w:line="280"/>
        <w:ind w:left="720" w:right="720"/>
        <w:jc w:val="both"/>
      </w:pPr>
      <w:r>
        <w:rPr>
          <w:rFonts w:ascii="Garamond" w:cs="Garamond" w:eastAsia="Garamond" w:hAnsi="Garamond"/>
          <w:i/>
          <w:iCs/>
          <w:sz w:val="22"/>
          <w:szCs w:val="22"/>
        </w:rPr>
        <w:t xml:space="preserve">Joseph Smith—History 1:19: “[The Lord] said that all their creeds were an abomination in his sight; that those professors were all corrupt; that ‘they draw near to me with their lips, but their hearts are far from me, they teach for doctrines the commandments of men, having a form of godliness, but they deny the power thereof.’”</w:t>
      </w:r>
    </w:p>
    <w:p>
      <w:pPr>
        <w:spacing w:after="80" w:before="80" w:line="300"/>
        <w:jc w:val="both"/>
      </w:pPr>
      <w:r>
        <w:rPr>
          <w:rFonts w:ascii="Garamond" w:cs="Garamond" w:eastAsia="Garamond" w:hAnsi="Garamond"/>
          <w:sz w:val="24"/>
          <w:szCs w:val="24"/>
        </w:rPr>
        <w:t xml:space="preserve">The line directly quotes Isaiah 29:13 and 2 Timothy 3:5. One continuous prophetic voice runs from Isaiah through Malachi through Christ through Nephi to the boy in the grove.</w:t>
      </w:r>
    </w:p>
    <w:p>
      <w:pPr>
        <w:pStyle w:val="Heading2"/>
        <w:spacing w:after="140" w:before="280"/>
      </w:pPr>
      <w:r>
        <w:rPr>
          <w:rFonts w:ascii="Garamond" w:cs="Garamond" w:eastAsia="Garamond" w:hAnsi="Garamond"/>
          <w:b/>
          <w:bCs/>
          <w:sz w:val="28"/>
          <w:szCs w:val="28"/>
        </w:rPr>
        <w:t xml:space="preserve">E. Lips and Heart in the Burned-over District — The Religion of 1820</w:t>
      </w:r>
    </w:p>
    <w:p>
      <w:pPr>
        <w:spacing w:after="80" w:before="80" w:line="300"/>
        <w:jc w:val="both"/>
      </w:pPr>
      <w:r>
        <w:rPr>
          <w:rFonts w:ascii="Garamond" w:cs="Garamond" w:eastAsia="Garamond" w:hAnsi="Garamond"/>
          <w:sz w:val="24"/>
          <w:szCs w:val="24"/>
        </w:rPr>
        <w:t xml:space="preserve">Joseph Smith did not encounter Isaiah 29:13 as an abstraction. He encountered it as a teenager in the Burned-over District of upstate New York during the Second Great Awakening — a religious culture so intense, so revivalist, and so internally contradictory that Isaiah's diagnosis fit it almost line by line. The First Vision's verdict on the religion of 1820 makes its sharpest sense against the specific texture of that religion.</w:t>
      </w:r>
    </w:p>
    <w:p>
      <w:pPr>
        <w:spacing w:after="80" w:before="80" w:line="300"/>
        <w:jc w:val="both"/>
      </w:pPr>
      <w:r>
        <w:rPr>
          <w:rFonts w:ascii="Garamond" w:cs="Garamond" w:eastAsia="Garamond" w:hAnsi="Garamond"/>
          <w:sz w:val="24"/>
          <w:szCs w:val="24"/>
        </w:rPr>
        <w:t xml:space="preserve">The basic contrast can be stated in a small table.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The “Lips” Model (Formalism)</w:t>
            </w:r>
          </w:p>
        </w:tc>
        <w:tc>
          <w:tcPr>
            <w:tcW w:type="dxa" w:w="468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The “Heart” Model (Covenant)</w:t>
            </w:r>
          </w:p>
        </w:tc>
      </w:tr>
      <w:tr>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Confession — saying the right name or creed</w:t>
            </w:r>
          </w:p>
        </w:tc>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Conversion — a total change of state</w:t>
            </w:r>
          </w:p>
        </w:tc>
      </w:tr>
      <w:tr>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Emotion — temporary excitement at a revival</w:t>
            </w:r>
          </w:p>
        </w:tc>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Endurance — a sustained walking in a direction</w:t>
            </w:r>
          </w:p>
        </w:tc>
      </w:tr>
      <w:tr>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Static grace — a pardon that covers a crooked walk</w:t>
            </w:r>
          </w:p>
        </w:tc>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Enabling grace — a power that straightens the walk</w:t>
            </w:r>
          </w:p>
        </w:tc>
      </w:tr>
      <w:tr>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Information — knowing the testimony</w:t>
            </w:r>
          </w:p>
        </w:tc>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Transformation — becoming the testimony</w:t>
            </w:r>
          </w:p>
        </w:tc>
      </w:tr>
    </w:tbl>
    <w:p>
      <w:pPr>
        <w:spacing w:after="80" w:before="80" w:line="300"/>
        <w:jc w:val="both"/>
      </w:pPr>
      <w:r>
        <w:rPr>
          <w:rFonts w:ascii="Garamond" w:cs="Garamond" w:eastAsia="Garamond" w:hAnsi="Garamond"/>
          <w:sz w:val="24"/>
          <w:szCs w:val="24"/>
        </w:rPr>
        <w:t xml:space="preserve">Three features of antebellum Protestant culture illustrate the split most clearly.</w:t>
      </w:r>
    </w:p>
    <w:p>
      <w:pPr>
        <w:spacing w:after="80" w:before="80" w:line="300"/>
        <w:jc w:val="both"/>
      </w:pPr>
      <w:r>
        <w:rPr>
          <w:rFonts w:ascii="Garamond" w:cs="Garamond" w:eastAsia="Garamond" w:hAnsi="Garamond"/>
          <w:b/>
          <w:bCs/>
          <w:sz w:val="24"/>
          <w:szCs w:val="24"/>
        </w:rPr>
        <w:t xml:space="preserve">The Anxious Bench — the performance of conversion. </w:t>
      </w:r>
      <w:r>
        <w:rPr>
          <w:rFonts w:ascii="Garamond" w:cs="Garamond" w:eastAsia="Garamond" w:hAnsi="Garamond"/>
          <w:sz w:val="24"/>
          <w:szCs w:val="24"/>
        </w:rPr>
        <w:t xml:space="preserve">Revivalist preachers, most prominently Charles Finney, pioneered a technique known as the “Anxious Bench” or “Anxious Seat” — a row of seats placed at the front of camp meetings for those under conviction of the Spirit. Those pressed to come forward, sit, and audibly confess their conviction were marked by the gathered community as saved. The form was efficient and emotionally powerful. But the same revivals reported, year after year, the same converts coming forward — a cycle of re-conversion suggesting that the emotional high of the bench had not produced a sustained change of life. The lips had moved; the heart had not yet been written upon. Old School critics within the Presbyterian tradition objected at the time that the technique manufactured the appearance of conversion rather than waiting upon its substance — a critique that, whatever one's view of revivals, names the lips/heart concern in this paper's terms.</w:t>
      </w:r>
    </w:p>
    <w:p>
      <w:pPr>
        <w:spacing w:after="80" w:before="80" w:line="300"/>
        <w:jc w:val="both"/>
      </w:pPr>
      <w:r>
        <w:rPr>
          <w:rFonts w:ascii="Garamond" w:cs="Garamond" w:eastAsia="Garamond" w:hAnsi="Garamond"/>
          <w:b/>
          <w:bCs/>
          <w:sz w:val="24"/>
          <w:szCs w:val="24"/>
        </w:rPr>
        <w:t xml:space="preserve">The War of the Creeds — the vocabulary of salvation. </w:t>
      </w:r>
      <w:r>
        <w:rPr>
          <w:rFonts w:ascii="Garamond" w:cs="Garamond" w:eastAsia="Garamond" w:hAnsi="Garamond"/>
          <w:sz w:val="24"/>
          <w:szCs w:val="24"/>
        </w:rPr>
        <w:t xml:space="preserve">Joseph Smith's First Vision account specifically reports that he was perplexed not by the indifference of the established churches but by their war with one another. Presbyterians, Methodists, and Baptists in the 1820s contended over precise theological vocabulary — predestination versus free will, infant versus believer's baptism, the order of the divine decrees, the legitimacy of revivalism itself. Joseph wrote of seeing the love of recent converts give way, within weeks, to “a scene of great confusion and bad feeling,” and noted that “all their good feelings one for another, if they ever had any, were lost in a strife of words and a contest about opinions” (JS–H 1:6). The form: the correct creedal vocabulary. The heart problem: the vocabulary itself was dividing the body of Christ into competing factions. Lips were articulating God in increasingly sophisticated terms; hearts were filled with strife.</w:t>
      </w:r>
    </w:p>
    <w:p>
      <w:pPr>
        <w:spacing w:after="80" w:before="80" w:line="300"/>
        <w:jc w:val="both"/>
      </w:pPr>
      <w:r>
        <w:rPr>
          <w:rFonts w:ascii="Garamond" w:cs="Garamond" w:eastAsia="Garamond" w:hAnsi="Garamond"/>
          <w:b/>
          <w:bCs/>
          <w:sz w:val="24"/>
          <w:szCs w:val="24"/>
        </w:rPr>
        <w:t xml:space="preserve">Antinomianism — grace as legal loophole. </w:t>
      </w:r>
      <w:r>
        <w:rPr>
          <w:rFonts w:ascii="Garamond" w:cs="Garamond" w:eastAsia="Garamond" w:hAnsi="Garamond"/>
          <w:sz w:val="24"/>
          <w:szCs w:val="24"/>
        </w:rPr>
        <w:t xml:space="preserve">A third and subtler distortion in the religious thought of the period was a current of teaching, present in various forms across denominations, that since Christ had paid the full cost of sin the believer's subsequent conduct was theologically secondary. The form: a verbal profession of Christ as Savior. The heart problem: such a profession, severed from the call to walk uprightly and to cleave to the commandments, turned grace into a legal exemption rather than an enabling power. The Restoration's response would be unequivocal. James 2's “faith without works is dead” — taken up again by Moroni and developed in the Doctrine and Covenants — names the same disorder Isaiah had named. A religion of profession that does not produce a change of being is, in Isaiah's terms, lips without heart.</w:t>
      </w:r>
    </w:p>
    <w:p>
      <w:pPr>
        <w:spacing w:after="80" w:before="80" w:line="300"/>
        <w:jc w:val="both"/>
      </w:pPr>
      <w:r>
        <w:rPr>
          <w:rFonts w:ascii="Garamond" w:cs="Garamond" w:eastAsia="Garamond" w:hAnsi="Garamond"/>
          <w:b/>
          <w:bCs/>
          <w:sz w:val="24"/>
          <w:szCs w:val="24"/>
        </w:rPr>
        <w:t xml:space="preserve">The First Vision in this context. </w:t>
      </w:r>
      <w:r>
        <w:rPr>
          <w:rFonts w:ascii="Garamond" w:cs="Garamond" w:eastAsia="Garamond" w:hAnsi="Garamond"/>
          <w:sz w:val="24"/>
          <w:szCs w:val="24"/>
        </w:rPr>
        <w:t xml:space="preserve">Against this specific religious texture, JS–H 1:19's verdict reads with surgical precision. “They draw near to me with their lips, but their hearts are far from me” — applied to the Anxious Bench, it names the gap between the bench's emotional high and the unchanged daily life. “They teach for doctrines the commandments of men” — applied to the War of the Creeds, it names the substitution of competing human formulas for living revelation. “Having a form of godliness, but they deny the power thereof” — applied to antinomian currents, it names the loss of the enabling power that converts a profession into a transformation. Joseph Smith was not told something abstract about a vague Christendom. He was told the precise diagnosis of the specific religion of his own moment.</w:t>
      </w:r>
    </w:p>
    <w:p>
      <w:pPr>
        <w:pStyle w:val="Heading2"/>
        <w:spacing w:after="140" w:before="280"/>
      </w:pPr>
      <w:r>
        <w:rPr>
          <w:rFonts w:ascii="Garamond" w:cs="Garamond" w:eastAsia="Garamond" w:hAnsi="Garamond"/>
          <w:b/>
          <w:bCs/>
          <w:sz w:val="28"/>
          <w:szCs w:val="28"/>
        </w:rPr>
        <w:t xml:space="preserve">F. The Moral Test of 1844 — Slavery and the Christianity Joseph Smith Confronted</w:t>
      </w:r>
    </w:p>
    <w:p>
      <w:pPr>
        <w:spacing w:after="80" w:before="80" w:line="300"/>
        <w:jc w:val="both"/>
      </w:pPr>
      <w:r>
        <w:rPr>
          <w:rFonts w:ascii="Garamond" w:cs="Garamond" w:eastAsia="Garamond" w:hAnsi="Garamond"/>
          <w:sz w:val="24"/>
          <w:szCs w:val="24"/>
        </w:rPr>
        <w:t xml:space="preserve">If Isaiah 29:13 diagnosed a people drawing near with their lips while their hearts were far away, the Christianity of Joseph Smith's America supplied the most graphic possible illustration of the diagnosis. The pulpits that called the boy's vision blasphemous were, at the same hour, defending or tolerating the holding of human beings as property. Sermons from the South cited the curse of Ham, the Pauline household codes, and the silence of Christ on Roman slavery to justify chattel bondage. Many Northern churches were complicit through silence. The major denominations literally split over the question during these very years — the Methodist Episcopal Church in 1844, the Baptists in 1845, the Presbyterians earlier and again later. The institutional Christianity of the 1840s held a form of godliness while denying the power of the gospel to recognize the divine image in every human being.</w:t>
      </w:r>
    </w:p>
    <w:p>
      <w:pPr>
        <w:pStyle w:val="Heading3"/>
        <w:spacing w:after="100" w:before="200"/>
      </w:pPr>
      <w:r>
        <w:rPr>
          <w:rFonts w:ascii="Garamond" w:cs="Garamond" w:eastAsia="Garamond" w:hAnsi="Garamond"/>
          <w:b/>
          <w:bCs/>
          <w:i/>
          <w:iCs/>
          <w:sz w:val="25"/>
          <w:szCs w:val="25"/>
        </w:rPr>
        <w:t xml:space="preserve">1. Joseph Smith's Presidential Platform</w:t>
      </w:r>
    </w:p>
    <w:p>
      <w:pPr>
        <w:spacing w:after="80" w:before="80" w:line="300"/>
        <w:jc w:val="both"/>
      </w:pPr>
      <w:r>
        <w:rPr>
          <w:rFonts w:ascii="Garamond" w:cs="Garamond" w:eastAsia="Garamond" w:hAnsi="Garamond"/>
          <w:sz w:val="24"/>
          <w:szCs w:val="24"/>
        </w:rPr>
        <w:t xml:space="preserve">In February 1844, Joseph Smith published General Smith's Views of the Powers and Policy of the Government of the United States as the platform for his candidacy for President. Its boldest plank proposed that the federal government purchase the freedom of every enslaved person in the United States by selling public lands and abolish slavery by 1850. The platform also called for prison reform, the abolition of court-martial for desertion, and the protection of religious minorities. Six weeks after publication, on June 27, 1844, Joseph and Hyrum Smith were murdered in Carthage Jail.</w:t>
      </w:r>
    </w:p>
    <w:p>
      <w:pPr>
        <w:spacing w:after="80" w:before="80" w:line="300"/>
        <w:jc w:val="both"/>
      </w:pPr>
      <w:r>
        <w:rPr>
          <w:rFonts w:ascii="Garamond" w:cs="Garamond" w:eastAsia="Garamond" w:hAnsi="Garamond"/>
          <w:sz w:val="24"/>
          <w:szCs w:val="24"/>
        </w:rPr>
        <w:t xml:space="preserve">The chronology is worth pausing over. The Christianity of Joseph's day could not tolerate a prophet who pressed the moral logic of the gospel to its political conclusion. This is not a novel pattern; it is the pattern of every dispensation: the institutional religion of any given age tends to silence the prophetic voices that call its bluff.</w:t>
      </w:r>
    </w:p>
    <w:p>
      <w:pPr>
        <w:spacing w:after="80" w:before="80" w:line="300"/>
        <w:jc w:val="both"/>
      </w:pPr>
      <w:r>
        <w:rPr>
          <w:rFonts w:ascii="Garamond" w:cs="Garamond" w:eastAsia="Garamond" w:hAnsi="Garamond"/>
          <w:sz w:val="24"/>
          <w:szCs w:val="24"/>
        </w:rPr>
        <w:t xml:space="preserve">Four witnesses stand behind the claim. Isaiah diagnosed the corruption of law itself, declaring “Woe unto them that decree unrighteous decrees, and that write grievousness which they have prescribed” (Isa. 10:1–2) — a charge taken up at length in Section XIV of this paper. Jeremiah named the parallel corruption of worship, asking how a people could “steal, murder, and commit adultery… and come and stand before me in this house” (Jer. 7:9–10). Christ Himself embodied the pattern: His trial before the Sanhedrin and Pilate proceeded legally under both Jewish and Roman law, proving that legality does not equal righteousness and that the law had become a weapon against truth. And Stephen articulated the pattern explicitly, in the moments before his own martyrdom, standing before the Sanhedrin:</w:t>
      </w:r>
    </w:p>
    <w:p>
      <w:pPr>
        <w:spacing w:after="120" w:before="120" w:line="280"/>
        <w:ind w:left="720" w:right="720"/>
        <w:jc w:val="both"/>
      </w:pPr>
      <w:r>
        <w:rPr>
          <w:rFonts w:ascii="Garamond" w:cs="Garamond" w:eastAsia="Garamond" w:hAnsi="Garamond"/>
          <w:i/>
          <w:iCs/>
          <w:sz w:val="22"/>
          <w:szCs w:val="22"/>
        </w:rPr>
        <w:t xml:space="preserve">Acts 7:51–52: “Ye stiffnecked and uncircumcised in heart and ears, ye do always resist the Holy Ghost: as your fathers did, so do ye. Which of the prophets have not your fathers persecuted? and they have slain them which shewed before of the coming of the Just One; of whom ye have been now the betrayers and murderers.”</w:t>
      </w:r>
    </w:p>
    <w:p>
      <w:pPr>
        <w:spacing w:after="80" w:before="80" w:line="300"/>
        <w:jc w:val="both"/>
      </w:pPr>
      <w:r>
        <w:rPr>
          <w:rFonts w:ascii="Garamond" w:cs="Garamond" w:eastAsia="Garamond" w:hAnsi="Garamond"/>
          <w:sz w:val="24"/>
          <w:szCs w:val="24"/>
        </w:rPr>
        <w:t xml:space="preserve">Stephen's question is rhetorical because the answer is none. Every prophet who pressed the case had been persecuted by the religious institution of his day. Stephen was stoned within minutes of asking it. The pattern Joseph Smith stepped into in 1844 was the same pattern — only the institution had changed.</w:t>
      </w:r>
    </w:p>
    <w:p>
      <w:pPr>
        <w:pStyle w:val="Heading3"/>
        <w:spacing w:after="100" w:before="200"/>
      </w:pPr>
      <w:r>
        <w:rPr>
          <w:rFonts w:ascii="Garamond" w:cs="Garamond" w:eastAsia="Garamond" w:hAnsi="Garamond"/>
          <w:b/>
          <w:bCs/>
          <w:i/>
          <w:iCs/>
          <w:sz w:val="25"/>
          <w:szCs w:val="25"/>
        </w:rPr>
        <w:t xml:space="preserve">2. The Book of Mormon's Prior Witness</w:t>
      </w:r>
    </w:p>
    <w:p>
      <w:pPr>
        <w:spacing w:after="80" w:before="80" w:line="300"/>
        <w:jc w:val="both"/>
      </w:pPr>
      <w:r>
        <w:rPr>
          <w:rFonts w:ascii="Garamond" w:cs="Garamond" w:eastAsia="Garamond" w:hAnsi="Garamond"/>
          <w:sz w:val="24"/>
          <w:szCs w:val="24"/>
        </w:rPr>
        <w:t xml:space="preserve">The deeper layer is that the Book of Mormon, published in 1830, had already supplied a direct moral witness against bondage — fourteen years before the platform and thirty-five before the Thirteenth Amendment.</w:t>
      </w:r>
    </w:p>
    <w:p>
      <w:pPr>
        <w:spacing w:after="120" w:before="120" w:line="280"/>
        <w:ind w:left="720" w:right="720"/>
        <w:jc w:val="both"/>
      </w:pPr>
      <w:r>
        <w:rPr>
          <w:rFonts w:ascii="Garamond" w:cs="Garamond" w:eastAsia="Garamond" w:hAnsi="Garamond"/>
          <w:i/>
          <w:iCs/>
          <w:sz w:val="22"/>
          <w:szCs w:val="22"/>
        </w:rPr>
        <w:t xml:space="preserve">Mosiah 2:13: “Neither have I suffered… that ye should make slaves one with another.”</w:t>
      </w:r>
    </w:p>
    <w:p>
      <w:pPr>
        <w:spacing w:after="120" w:before="120" w:line="280"/>
        <w:ind w:left="720" w:right="720"/>
        <w:jc w:val="both"/>
      </w:pPr>
      <w:r>
        <w:rPr>
          <w:rFonts w:ascii="Garamond" w:cs="Garamond" w:eastAsia="Garamond" w:hAnsi="Garamond"/>
          <w:i/>
          <w:iCs/>
          <w:sz w:val="22"/>
          <w:szCs w:val="22"/>
        </w:rPr>
        <w:t xml:space="preserve">Alma 27:9: “It is against the law of our brethren… that there should be any slaves among them.”</w:t>
      </w:r>
    </w:p>
    <w:p>
      <w:pPr>
        <w:spacing w:after="120" w:before="120" w:line="280"/>
        <w:ind w:left="720" w:right="720"/>
        <w:jc w:val="both"/>
      </w:pPr>
      <w:r>
        <w:rPr>
          <w:rFonts w:ascii="Garamond" w:cs="Garamond" w:eastAsia="Garamond" w:hAnsi="Garamond"/>
          <w:i/>
          <w:iCs/>
          <w:sz w:val="22"/>
          <w:szCs w:val="22"/>
        </w:rPr>
        <w:t xml:space="preserve">Doctrine and Covenants 101:79: “It is not right that any man should be in bondage one to another.”</w:t>
      </w:r>
    </w:p>
    <w:p>
      <w:pPr>
        <w:spacing w:after="80" w:before="80" w:line="300"/>
        <w:jc w:val="both"/>
      </w:pPr>
      <w:r>
        <w:rPr>
          <w:rFonts w:ascii="Garamond" w:cs="Garamond" w:eastAsia="Garamond" w:hAnsi="Garamond"/>
          <w:sz w:val="24"/>
          <w:szCs w:val="24"/>
        </w:rPr>
        <w:t xml:space="preserve">Among the “plain and precious things” restored in 1830 was a clear scriptural conviction that a covenant society cannot hold its own members in bondage. The 1844 platform was not a political innovation grafted onto the Restoration; it was the Restoration's moral logic finally pressed into civic form.</w:t>
      </w:r>
    </w:p>
    <w:p>
      <w:pPr>
        <w:pStyle w:val="Heading3"/>
        <w:spacing w:after="100" w:before="200"/>
      </w:pPr>
      <w:r>
        <w:rPr>
          <w:rFonts w:ascii="Garamond" w:cs="Garamond" w:eastAsia="Garamond" w:hAnsi="Garamond"/>
          <w:b/>
          <w:bCs/>
          <w:i/>
          <w:iCs/>
          <w:sz w:val="25"/>
          <w:szCs w:val="25"/>
        </w:rPr>
        <w:t xml:space="preserve">3. The Argument from Corrupt Law</w:t>
      </w:r>
    </w:p>
    <w:p>
      <w:pPr>
        <w:spacing w:after="80" w:before="80" w:line="300"/>
        <w:jc w:val="both"/>
      </w:pPr>
      <w:r>
        <w:rPr>
          <w:rFonts w:ascii="Garamond" w:cs="Garamond" w:eastAsia="Garamond" w:hAnsi="Garamond"/>
          <w:sz w:val="24"/>
          <w:szCs w:val="24"/>
        </w:rPr>
        <w:t xml:space="preserve">Read alongside Section XIV of this paper, the legal architecture of antebellum America is a textbook fulfillment of Isaiah 10:1–2: “Woe unto them that decree unrighteous decrees, and that write grievousness which they have prescribed; to turn aside the needy from judgment, and to take away the right from the poor of my people.” The three-fifths clause, the slave codes of the Southern states, the Fugitive Slave Acts of 1793 and 1850, and the Dred Scott decision of 1857 each codified human beings as property and made the codification legal. Legality did not equal righteousness. Joseph Smith's platform stood against this legal architecture in precisely the terms Isaiah had named.</w:t>
      </w:r>
    </w:p>
    <w:p>
      <w:pPr>
        <w:pStyle w:val="Heading3"/>
        <w:spacing w:after="100" w:before="200"/>
      </w:pPr>
      <w:r>
        <w:rPr>
          <w:rFonts w:ascii="Garamond" w:cs="Garamond" w:eastAsia="Garamond" w:hAnsi="Garamond"/>
          <w:b/>
          <w:bCs/>
          <w:i/>
          <w:iCs/>
          <w:sz w:val="25"/>
          <w:szCs w:val="25"/>
        </w:rPr>
        <w:t xml:space="preserve">4. An Honest Note on Joseph Smith's Earlier Statements</w:t>
      </w:r>
    </w:p>
    <w:p>
      <w:pPr>
        <w:spacing w:after="80" w:before="80" w:line="300"/>
        <w:jc w:val="both"/>
      </w:pPr>
      <w:r>
        <w:rPr>
          <w:rFonts w:ascii="Garamond" w:cs="Garamond" w:eastAsia="Garamond" w:hAnsi="Garamond"/>
          <w:sz w:val="24"/>
          <w:szCs w:val="24"/>
        </w:rPr>
        <w:t xml:space="preserve">The historical record is not uniform. The trajectory of Joseph Smith's antislavery conscience moved across three identifiable waypoints.</w:t>
      </w:r>
    </w:p>
    <w:p>
      <w:pPr>
        <w:spacing w:after="80" w:before="80" w:line="300"/>
        <w:jc w:val="both"/>
      </w:pPr>
      <w:r>
        <w:rPr>
          <w:rFonts w:ascii="Garamond" w:cs="Garamond" w:eastAsia="Garamond" w:hAnsi="Garamond"/>
          <w:sz w:val="24"/>
          <w:szCs w:val="24"/>
        </w:rPr>
        <w:t xml:space="preserve">“The 1835 Disclaimer.” The 1835 Doctrine and Covenants edition included a statement (now canonized as D&amp;C 134) that disclaimed interference with masters' “servants.” This early, more cautious stance was partly tactical — perceived Mormon abolitionism was fueling violent persecutions in Missouri — and partly reflective of the limits of Joseph's understanding at that moment.</w:t>
      </w:r>
    </w:p>
    <w:p>
      <w:pPr>
        <w:spacing w:after="80" w:before="80" w:line="300"/>
        <w:jc w:val="both"/>
      </w:pPr>
      <w:r>
        <w:rPr>
          <w:rFonts w:ascii="Garamond" w:cs="Garamond" w:eastAsia="Garamond" w:hAnsi="Garamond"/>
          <w:sz w:val="24"/>
          <w:szCs w:val="24"/>
        </w:rPr>
        <w:t xml:space="preserve">“The Shift in Conscience (1842).” By 1842, Joseph Smith's journal entries record clear and unambiguous antislavery sentiments. The private conviction had hardened well in advance of any political expression.</w:t>
      </w:r>
    </w:p>
    <w:p>
      <w:pPr>
        <w:spacing w:after="80" w:before="80" w:line="300"/>
        <w:jc w:val="both"/>
      </w:pPr>
      <w:r>
        <w:rPr>
          <w:rFonts w:ascii="Garamond" w:cs="Garamond" w:eastAsia="Garamond" w:hAnsi="Garamond"/>
          <w:sz w:val="24"/>
          <w:szCs w:val="24"/>
        </w:rPr>
        <w:t xml:space="preserve">“The 1844 Presidential Platform.” By 1844, those private convictions became a highly public and political stance. In General Smith's Views of the Powers and Policy of the Government of the United States, Joseph Smith proposed that the federal government abolish slavery by 1850 by selling public lands to purchase the freedom of every enslaved person in the United States.</w:t>
      </w:r>
    </w:p>
    <w:p>
      <w:pPr>
        <w:spacing w:after="80" w:before="80" w:line="300"/>
        <w:jc w:val="both"/>
      </w:pPr>
      <w:r>
        <w:rPr>
          <w:rFonts w:ascii="Garamond" w:cs="Garamond" w:eastAsia="Garamond" w:hAnsi="Garamond"/>
          <w:sz w:val="24"/>
          <w:szCs w:val="24"/>
        </w:rPr>
        <w:t xml:space="preserve">This trajectory is not embarrassing for the prophetic argument; it strengthens it. The Restoration itself, as Section XIX shows, was a sustained sunrise rather than a single dawn. Joseph's own moral conscience on slavery followed the same pattern — deepening as the keys, ordinances, and doctrines of the Restoration accumulated. The man who could publish the platform of 1844 was not the same man who had needed to disclaim abolitionism in 1835. Revelation matured the prophet.</w:t>
      </w:r>
    </w:p>
    <w:p>
      <w:pPr>
        <w:pStyle w:val="Heading3"/>
        <w:spacing w:after="100" w:before="200"/>
      </w:pPr>
      <w:r>
        <w:rPr>
          <w:rFonts w:ascii="Garamond" w:cs="Garamond" w:eastAsia="Garamond" w:hAnsi="Garamond"/>
          <w:b/>
          <w:bCs/>
          <w:i/>
          <w:iCs/>
          <w:sz w:val="25"/>
          <w:szCs w:val="25"/>
        </w:rPr>
        <w:t xml:space="preserve">5. The Diagnosis Confirmed</w:t>
      </w:r>
    </w:p>
    <w:p>
      <w:pPr>
        <w:spacing w:after="80" w:before="80" w:line="300"/>
        <w:jc w:val="both"/>
      </w:pPr>
      <w:r>
        <w:rPr>
          <w:rFonts w:ascii="Garamond" w:cs="Garamond" w:eastAsia="Garamond" w:hAnsi="Garamond"/>
          <w:sz w:val="24"/>
          <w:szCs w:val="24"/>
        </w:rPr>
        <w:t xml:space="preserve">The convergence of the four prophetic voices traced earlier in this section finds its sharpest historical illustration here. Isaiah's “lips, not hearts.” Malachi's “polluted offerings.” Christ's “woes” against the Pharisees who tithed mint and cumin while neglecting the weightier matters of judgment, mercy, and faith. Joseph Smith's “a form of godliness, but they deny the power thereof.” Each of these phrases describes, with unsettling precision, a Christianity capable of preaching the cross on Sunday and selling human beings on Monday — and capable of murdering, with the silent or active consent of its institutions, the man who refused that arrangement.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6240"/>
      </w:tblGrid>
      <w:tr>
        <w:trPr>
          <w:tblHeader/>
        </w:trPr>
        <w:tc>
          <w:tcPr>
            <w:tcW w:type="dxa" w:w="312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Prophetic Diagnosis</w:t>
            </w:r>
          </w:p>
        </w:tc>
        <w:tc>
          <w:tcPr>
            <w:tcW w:type="dxa" w:w="624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Antebellum Fulfillment</w:t>
            </w:r>
          </w:p>
        </w:tc>
      </w:tr>
      <w:tr>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Isaiah 29:13 — “Lips honour me; hearts are far”</w:t>
            </w:r>
          </w:p>
        </w:tc>
        <w:tc>
          <w:tcPr>
            <w:tcW w:type="dxa" w:w="62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Sunday sermons; Monday slave auctions</w:t>
            </w:r>
          </w:p>
        </w:tc>
      </w:tr>
      <w:tr>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Isaiah 10:1–2 — Unrighteous decrees</w:t>
            </w:r>
          </w:p>
        </w:tc>
        <w:tc>
          <w:tcPr>
            <w:tcW w:type="dxa" w:w="62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Slave codes; Fugitive Slave Acts; Dred Scott</w:t>
            </w:r>
          </w:p>
        </w:tc>
      </w:tr>
      <w:tr>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Malachi 1:7 — Polluted offerings</w:t>
            </w:r>
          </w:p>
        </w:tc>
        <w:tc>
          <w:tcPr>
            <w:tcW w:type="dxa" w:w="62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Worship offered while violating the second great commandment</w:t>
            </w:r>
          </w:p>
        </w:tc>
      </w:tr>
      <w:tr>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Matthew 23:23 — Tithing while neglecting judgment, mercy</w:t>
            </w:r>
          </w:p>
        </w:tc>
        <w:tc>
          <w:tcPr>
            <w:tcW w:type="dxa" w:w="62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Denominations splitting over slavery rather than ending it</w:t>
            </w:r>
          </w:p>
        </w:tc>
      </w:tr>
      <w:tr>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JS–H 1:19 — “Form of godliness, denying the power”</w:t>
            </w:r>
          </w:p>
        </w:tc>
        <w:tc>
          <w:tcPr>
            <w:tcW w:type="dxa" w:w="62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A Christianity that could not see the image of God in every person</w:t>
            </w:r>
          </w:p>
        </w:tc>
      </w:tr>
      <w:tr>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Mosiah 2:13 / D&amp;C 101:79 — No bondage among brethren</w:t>
            </w:r>
          </w:p>
        </w:tc>
        <w:tc>
          <w:tcPr>
            <w:tcW w:type="dxa" w:w="62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1844 platform: federal emancipation by 1850</w:t>
            </w:r>
          </w:p>
        </w:tc>
      </w:tr>
    </w:tbl>
    <w:p>
      <w:pPr>
        <w:spacing w:after="80" w:before="80" w:line="300"/>
        <w:jc w:val="both"/>
      </w:pPr>
      <w:r>
        <w:rPr>
          <w:rFonts w:ascii="Garamond" w:cs="Garamond" w:eastAsia="Garamond" w:hAnsi="Garamond"/>
          <w:sz w:val="24"/>
          <w:szCs w:val="24"/>
        </w:rPr>
        <w:t xml:space="preserve">That the prophet of the Restoration was killed within months of publishing such a platform is, on this reading, not coincidence. It is the pattern. The institutional religion that the First Vision had diagnosed in 1820 demonstrated, in 1844, exactly the spiritual incapacity Isaiah had named: a heart far from God, however near the lips.</w:t>
      </w:r>
    </w:p>
    <w:p>
      <w:pPr>
        <w:pStyle w:val="Heading1"/>
        <w:spacing w:after="180" w:before="360"/>
        <w:jc w:val="left"/>
      </w:pPr>
      <w:r>
        <w:rPr>
          <w:rFonts w:ascii="Garamond" w:cs="Garamond" w:eastAsia="Garamond" w:hAnsi="Garamond"/>
          <w:b/>
          <w:bCs/>
          <w:sz w:val="32"/>
          <w:szCs w:val="32"/>
        </w:rPr>
        <w:t xml:space="preserve">XII. The Abomination of Desolation Across Dispensations</w:t>
      </w:r>
    </w:p>
    <w:p>
      <w:pPr>
        <w:pStyle w:val="Heading2"/>
        <w:spacing w:after="140" w:before="280"/>
      </w:pPr>
      <w:r>
        <w:rPr>
          <w:rFonts w:ascii="Garamond" w:cs="Garamond" w:eastAsia="Garamond" w:hAnsi="Garamond"/>
          <w:b/>
          <w:bCs/>
          <w:sz w:val="28"/>
          <w:szCs w:val="28"/>
        </w:rPr>
        <w:t xml:space="preserve">A. Daniel's Prototype</w:t>
      </w:r>
    </w:p>
    <w:p>
      <w:pPr>
        <w:spacing w:after="120" w:before="120" w:line="280"/>
        <w:ind w:left="720" w:right="720"/>
        <w:jc w:val="both"/>
      </w:pPr>
      <w:r>
        <w:rPr>
          <w:rFonts w:ascii="Garamond" w:cs="Garamond" w:eastAsia="Garamond" w:hAnsi="Garamond"/>
          <w:i/>
          <w:iCs/>
          <w:sz w:val="22"/>
          <w:szCs w:val="22"/>
        </w:rPr>
        <w:t xml:space="preserve">Daniel 11:31: “And arms shall stand on his part, and they shall pollute the sanctuary of strength, and shall take away the daily sacrifice, and they shall place the abomination that maketh desolate.”</w:t>
      </w:r>
    </w:p>
    <w:p>
      <w:pPr>
        <w:spacing w:after="120" w:before="120" w:line="280"/>
        <w:ind w:left="720" w:right="720"/>
        <w:jc w:val="both"/>
      </w:pPr>
      <w:r>
        <w:rPr>
          <w:rFonts w:ascii="Garamond" w:cs="Garamond" w:eastAsia="Garamond" w:hAnsi="Garamond"/>
          <w:i/>
          <w:iCs/>
          <w:sz w:val="22"/>
          <w:szCs w:val="22"/>
        </w:rPr>
        <w:t xml:space="preserve">Daniel 12:11: “From the time that the daily sacrifice shall be taken away, and the abomination that maketh desolate set up, there shall be a thousand two hundred and ninety days.”</w:t>
      </w:r>
    </w:p>
    <w:p>
      <w:pPr>
        <w:spacing w:after="80" w:before="80" w:line="300"/>
        <w:jc w:val="both"/>
      </w:pPr>
      <w:r>
        <w:rPr>
          <w:rFonts w:ascii="Garamond" w:cs="Garamond" w:eastAsia="Garamond" w:hAnsi="Garamond"/>
          <w:sz w:val="24"/>
          <w:szCs w:val="24"/>
        </w:rPr>
        <w:t xml:space="preserve">The terms decode as follows: “Daily sacrifice” refers to the continual worship and authorized ordinance of the true covenant; “abomination” refers to the unauthorized replacement — humanly established, outwardly religious, inwardly corrupt; “desolation” refers to spiritual barrenness following the loss of divine presence.</w:t>
      </w:r>
    </w:p>
    <w:p>
      <w:pPr>
        <w:spacing w:after="80" w:before="80" w:line="300"/>
        <w:jc w:val="both"/>
      </w:pPr>
      <w:r>
        <w:rPr>
          <w:rFonts w:ascii="Garamond" w:cs="Garamond" w:eastAsia="Garamond" w:hAnsi="Garamond"/>
          <w:sz w:val="24"/>
          <w:szCs w:val="24"/>
        </w:rPr>
        <w:t xml:space="preserve">Historically, this prophecy had multiple fulfillments: Antiochus IV (167 B.C.) placed a pagan idol in the temple; Roman desecration (70 A.D.) destroyed Jerusalem; and the prophetic type of global apostasy involves the removal of pure worship and priesthood after the early Church.</w:t>
      </w:r>
    </w:p>
    <w:p>
      <w:pPr>
        <w:pStyle w:val="Heading2"/>
        <w:spacing w:after="140" w:before="280"/>
      </w:pPr>
      <w:r>
        <w:rPr>
          <w:rFonts w:ascii="Garamond" w:cs="Garamond" w:eastAsia="Garamond" w:hAnsi="Garamond"/>
          <w:b/>
          <w:bCs/>
          <w:sz w:val="28"/>
          <w:szCs w:val="28"/>
        </w:rPr>
        <w:t xml:space="preserve">B. Christ's Application</w:t>
      </w:r>
    </w:p>
    <w:p>
      <w:pPr>
        <w:spacing w:after="120" w:before="120" w:line="280"/>
        <w:ind w:left="720" w:right="720"/>
        <w:jc w:val="both"/>
      </w:pPr>
      <w:r>
        <w:rPr>
          <w:rFonts w:ascii="Garamond" w:cs="Garamond" w:eastAsia="Garamond" w:hAnsi="Garamond"/>
          <w:i/>
          <w:iCs/>
          <w:sz w:val="22"/>
          <w:szCs w:val="22"/>
        </w:rPr>
        <w:t xml:space="preserve">Matthew 24:15: “When ye therefore shall see the abomination of desolation, spoken of by Daniel the prophet, stand in the holy place…”</w:t>
      </w:r>
    </w:p>
    <w:p>
      <w:pPr>
        <w:spacing w:after="80" w:before="80" w:line="300"/>
        <w:jc w:val="both"/>
      </w:pPr>
      <w:r>
        <w:rPr>
          <w:rFonts w:ascii="Garamond" w:cs="Garamond" w:eastAsia="Garamond" w:hAnsi="Garamond"/>
          <w:sz w:val="24"/>
          <w:szCs w:val="24"/>
        </w:rPr>
        <w:t xml:space="preserve">The warning had immediate fulfillment in Jerusalem's destruction (70 A.D.), but Christ's prophetic scope extended into the latter-day apostasy — when spiritual “holy places” would again be desecrated by corruption and false religion. The “abomination” is therefore not only military or political but spiritual — the profanation of what is sacred.</w:t>
      </w:r>
    </w:p>
    <w:p>
      <w:pPr>
        <w:pStyle w:val="Heading2"/>
        <w:spacing w:after="140" w:before="280"/>
      </w:pPr>
      <w:r>
        <w:rPr>
          <w:rFonts w:ascii="Garamond" w:cs="Garamond" w:eastAsia="Garamond" w:hAnsi="Garamond"/>
          <w:b/>
          <w:bCs/>
          <w:sz w:val="28"/>
          <w:szCs w:val="28"/>
        </w:rPr>
        <w:t xml:space="preserve">C. Nephi's Expansion — The Great and Abominable Church</w:t>
      </w:r>
    </w:p>
    <w:p>
      <w:pPr>
        <w:spacing w:after="120" w:before="120" w:line="280"/>
        <w:ind w:left="720" w:right="720"/>
        <w:jc w:val="both"/>
      </w:pPr>
      <w:r>
        <w:rPr>
          <w:rFonts w:ascii="Garamond" w:cs="Garamond" w:eastAsia="Garamond" w:hAnsi="Garamond"/>
          <w:i/>
          <w:iCs/>
          <w:sz w:val="22"/>
          <w:szCs w:val="22"/>
        </w:rPr>
        <w:t xml:space="preserve">1 Nephi 13:26–29: “…they have taken away from the gospel of the Lamb many parts which are plain and most precious; and also many covenants of the Lord have they taken away; and all this have they done that they might pervert the right ways of the Lord.”</w:t>
      </w:r>
    </w:p>
    <w:p>
      <w:pPr>
        <w:spacing w:after="80" w:before="80" w:line="300"/>
        <w:jc w:val="both"/>
      </w:pPr>
      <w:r>
        <w:rPr>
          <w:rFonts w:ascii="Garamond" w:cs="Garamond" w:eastAsia="Garamond" w:hAnsi="Garamond"/>
          <w:sz w:val="24"/>
          <w:szCs w:val="24"/>
        </w:rPr>
        <w:t xml:space="preserve">Nephi's “great and abominable church” is not one specific denomination but the collective institution of apostate religion — any system that removes plain truths, substitutes authority with tradition, and uses religion for power and wealth.</w:t>
      </w:r>
    </w:p>
    <w:p>
      <w:pPr>
        <w:spacing w:after="120" w:before="120" w:line="280"/>
        <w:ind w:left="720" w:right="720"/>
        <w:jc w:val="both"/>
      </w:pPr>
      <w:r>
        <w:rPr>
          <w:rFonts w:ascii="Garamond" w:cs="Garamond" w:eastAsia="Garamond" w:hAnsi="Garamond"/>
          <w:i/>
          <w:iCs/>
          <w:sz w:val="22"/>
          <w:szCs w:val="22"/>
        </w:rPr>
        <w:t xml:space="preserve">1 Nephi 14:9–10: “Behold there are save two churches only; the one is the church of the Lamb of God, and the other is the church of the devil…”</w:t>
      </w:r>
    </w:p>
    <w:p>
      <w:pPr>
        <w:spacing w:after="80" w:before="80" w:line="300"/>
        <w:jc w:val="both"/>
      </w:pPr>
      <w:r>
        <w:rPr>
          <w:rFonts w:ascii="Garamond" w:cs="Garamond" w:eastAsia="Garamond" w:hAnsi="Garamond"/>
          <w:sz w:val="24"/>
          <w:szCs w:val="24"/>
        </w:rPr>
        <w:t xml:space="preserve">This binary worldview is not institutional but spiritual. It divides the world between those under divine covenant and those under worldly religion — echoing Revelation 17's “great whore,” the fusion of church and state condemned by Isaiah, Daniel, and John alike.</w:t>
      </w:r>
    </w:p>
    <w:p>
      <w:pPr>
        <w:pStyle w:val="Heading2"/>
        <w:spacing w:after="140" w:before="280"/>
      </w:pPr>
      <w:r>
        <w:rPr>
          <w:rFonts w:ascii="Garamond" w:cs="Garamond" w:eastAsia="Garamond" w:hAnsi="Garamond"/>
          <w:b/>
          <w:bCs/>
          <w:sz w:val="28"/>
          <w:szCs w:val="28"/>
        </w:rPr>
        <w:t xml:space="preserve">D. Joseph Smith's Vision — The Fulfillment</w:t>
      </w:r>
    </w:p>
    <w:p>
      <w:pPr>
        <w:spacing w:after="80" w:before="80" w:line="300"/>
        <w:jc w:val="both"/>
      </w:pPr>
      <w:r>
        <w:rPr>
          <w:rFonts w:ascii="Garamond" w:cs="Garamond" w:eastAsia="Garamond" w:hAnsi="Garamond"/>
          <w:sz w:val="24"/>
          <w:szCs w:val="24"/>
        </w:rPr>
        <w:t xml:space="preserve">The Lord's words to Joseph in 1820 fuse Daniel's “abomination” and Nephi's “abominable church” into a single statement: “all their creeds were an abomination in his sight.” The abomination is the false form of worship replacing living revelation; the desolation is the absence of divine power and priesthood authority; the creeds are the codified system of that desolation — law without Spirit.</w:t>
      </w:r>
    </w:p>
    <w:p>
      <w:pPr>
        <w:pStyle w:val="Heading2"/>
        <w:spacing w:after="140" w:before="280"/>
      </w:pPr>
      <w:r>
        <w:rPr>
          <w:rFonts w:ascii="Garamond" w:cs="Garamond" w:eastAsia="Garamond" w:hAnsi="Garamond"/>
          <w:b/>
          <w:bCs/>
          <w:sz w:val="28"/>
          <w:szCs w:val="28"/>
        </w:rPr>
        <w:t xml:space="preserve">E. The Fourfold Prophetic Witness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72"/>
        <w:gridCol w:w="2080"/>
        <w:gridCol w:w="2704"/>
        <w:gridCol w:w="2704"/>
      </w:tblGrid>
      <w:tr>
        <w:trPr>
          <w:tblHeader/>
        </w:trPr>
        <w:tc>
          <w:tcPr>
            <w:tcW w:type="dxa" w:w="1872"/>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Prophet</w:t>
            </w:r>
          </w:p>
        </w:tc>
        <w:tc>
          <w:tcPr>
            <w:tcW w:type="dxa" w:w="208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Symbol</w:t>
            </w:r>
          </w:p>
        </w:tc>
        <w:tc>
          <w:tcPr>
            <w:tcW w:type="dxa" w:w="2704"/>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Description</w:t>
            </w:r>
          </w:p>
        </w:tc>
        <w:tc>
          <w:tcPr>
            <w:tcW w:type="dxa" w:w="2704"/>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Fulfillment</w:t>
            </w:r>
          </w:p>
        </w:tc>
      </w:tr>
      <w:tr>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Daniel</w:t>
            </w:r>
          </w:p>
        </w:tc>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“Abomination of desolation”</w:t>
            </w:r>
          </w:p>
        </w:tc>
        <w:tc>
          <w:tcPr>
            <w:tcW w:type="dxa" w:w="2704"/>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Loss of true worship; false system set up</w:t>
            </w:r>
          </w:p>
        </w:tc>
        <w:tc>
          <w:tcPr>
            <w:tcW w:type="dxa" w:w="2704"/>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Temple corruption → global apostasy</w:t>
            </w:r>
          </w:p>
        </w:tc>
      </w:tr>
      <w:tr>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Jesus</w:t>
            </w:r>
          </w:p>
        </w:tc>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“Abomination standing in holy place”</w:t>
            </w:r>
          </w:p>
        </w:tc>
        <w:tc>
          <w:tcPr>
            <w:tcW w:type="dxa" w:w="2704"/>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Religion polluted; worldly power in sacred garb</w:t>
            </w:r>
          </w:p>
        </w:tc>
        <w:tc>
          <w:tcPr>
            <w:tcW w:type="dxa" w:w="2704"/>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Church-state union of later ages</w:t>
            </w:r>
          </w:p>
        </w:tc>
      </w:tr>
      <w:tr>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Nephi</w:t>
            </w:r>
          </w:p>
        </w:tc>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“Great and abominable church”</w:t>
            </w:r>
          </w:p>
        </w:tc>
        <w:tc>
          <w:tcPr>
            <w:tcW w:type="dxa" w:w="2704"/>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Removal of plain truths; counterfeit covenants</w:t>
            </w:r>
          </w:p>
        </w:tc>
        <w:tc>
          <w:tcPr>
            <w:tcW w:type="dxa" w:w="2704"/>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Post-apostolic Christianity (1 Ne. 13)</w:t>
            </w:r>
          </w:p>
        </w:tc>
      </w:tr>
      <w:tr>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Joseph Smith</w:t>
            </w:r>
          </w:p>
        </w:tc>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“Creeds an abomination”</w:t>
            </w:r>
          </w:p>
        </w:tc>
        <w:tc>
          <w:tcPr>
            <w:tcW w:type="dxa" w:w="2704"/>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Institutional religion without divine power</w:t>
            </w:r>
          </w:p>
        </w:tc>
        <w:tc>
          <w:tcPr>
            <w:tcW w:type="dxa" w:w="2704"/>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1820 First Vision; preludes 1830</w:t>
            </w:r>
          </w:p>
        </w:tc>
      </w:tr>
    </w:tbl>
    <w:p>
      <w:pPr>
        <w:spacing w:after="80" w:before="80" w:line="300"/>
        <w:jc w:val="both"/>
      </w:pPr>
      <w:r>
        <w:rPr>
          <w:rFonts w:ascii="Garamond" w:cs="Garamond" w:eastAsia="Garamond" w:hAnsi="Garamond"/>
          <w:sz w:val="24"/>
          <w:szCs w:val="24"/>
        </w:rPr>
        <w:t xml:space="preserve">Together, the four prophets describe one continuous narrative — the spiritual fall of humanity's religious institutions and the final call for divine restoration.</w:t>
      </w:r>
    </w:p>
    <w:p>
      <w:pPr>
        <w:pStyle w:val="Heading1"/>
        <w:spacing w:after="180" w:before="360"/>
        <w:jc w:val="left"/>
      </w:pPr>
      <w:r>
        <w:rPr>
          <w:rFonts w:ascii="Garamond" w:cs="Garamond" w:eastAsia="Garamond" w:hAnsi="Garamond"/>
          <w:b/>
          <w:bCs/>
          <w:sz w:val="32"/>
          <w:szCs w:val="32"/>
        </w:rPr>
        <w:t xml:space="preserve">XIII. Isaiah on the Trust in Government and State Alliances</w:t>
      </w:r>
    </w:p>
    <w:p>
      <w:pPr>
        <w:spacing w:after="80" w:before="80" w:line="300"/>
        <w:jc w:val="both"/>
      </w:pPr>
      <w:r>
        <w:rPr>
          <w:rFonts w:ascii="Garamond" w:cs="Garamond" w:eastAsia="Garamond" w:hAnsi="Garamond"/>
          <w:sz w:val="24"/>
          <w:szCs w:val="24"/>
        </w:rPr>
        <w:t xml:space="preserve">A second axis of Isaiah's critique attacks not the corruption of worship but the corruption of trust — the substitution of political alliance for covenantal faith.</w:t>
      </w:r>
    </w:p>
    <w:p>
      <w:pPr>
        <w:pStyle w:val="Heading2"/>
        <w:spacing w:after="140" w:before="280"/>
      </w:pPr>
      <w:r>
        <w:rPr>
          <w:rFonts w:ascii="Garamond" w:cs="Garamond" w:eastAsia="Garamond" w:hAnsi="Garamond"/>
          <w:b/>
          <w:bCs/>
          <w:sz w:val="28"/>
          <w:szCs w:val="28"/>
        </w:rPr>
        <w:t xml:space="preserve">A. The Central Charge</w:t>
      </w:r>
    </w:p>
    <w:p>
      <w:pPr>
        <w:spacing w:after="120" w:before="120" w:line="280"/>
        <w:ind w:left="720" w:right="720"/>
        <w:jc w:val="both"/>
      </w:pPr>
      <w:r>
        <w:rPr>
          <w:rFonts w:ascii="Garamond" w:cs="Garamond" w:eastAsia="Garamond" w:hAnsi="Garamond"/>
          <w:i/>
          <w:iCs/>
          <w:sz w:val="22"/>
          <w:szCs w:val="22"/>
        </w:rPr>
        <w:t xml:space="preserve">Isaiah 31:1: “Woe to them that go down to Egypt for help; and stay on horses, and trust in chariots, because they are many; and in horsemen, because they are very strong; but they look not unto the Holy One of Israel, neither seek the Lord!”</w:t>
      </w:r>
    </w:p>
    <w:p>
      <w:pPr>
        <w:spacing w:after="120" w:before="120" w:line="280"/>
        <w:ind w:left="720" w:right="720"/>
        <w:jc w:val="both"/>
      </w:pPr>
      <w:r>
        <w:rPr>
          <w:rFonts w:ascii="Garamond" w:cs="Garamond" w:eastAsia="Garamond" w:hAnsi="Garamond"/>
          <w:i/>
          <w:iCs/>
          <w:sz w:val="22"/>
          <w:szCs w:val="22"/>
        </w:rPr>
        <w:t xml:space="preserve">Isaiah 30:1–3: “Woe to the rebellious children, saith the Lord, that take counsel, but not of me; and that cover with a covering, but not of my spirit, that they may add sin to sin: That walk to go down into Egypt, and have not asked at my mouth; to strengthen themselves in the strength of Pharaoh… Therefore shall the strength of Pharaoh be your shame.”</w:t>
      </w:r>
    </w:p>
    <w:p>
      <w:pPr>
        <w:pStyle w:val="Heading2"/>
        <w:spacing w:after="140" w:before="280"/>
      </w:pPr>
      <w:r>
        <w:rPr>
          <w:rFonts w:ascii="Garamond" w:cs="Garamond" w:eastAsia="Garamond" w:hAnsi="Garamond"/>
          <w:b/>
          <w:bCs/>
          <w:sz w:val="28"/>
          <w:szCs w:val="28"/>
        </w:rPr>
        <w:t xml:space="preserve">B. Historical Context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80"/>
        <w:gridCol w:w="3120"/>
        <w:gridCol w:w="4160"/>
      </w:tblGrid>
      <w:tr>
        <w:trPr>
          <w:tblHeader/>
        </w:trPr>
        <w:tc>
          <w:tcPr>
            <w:tcW w:type="dxa" w:w="208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King</w:t>
            </w:r>
          </w:p>
        </w:tc>
        <w:tc>
          <w:tcPr>
            <w:tcW w:type="dxa" w:w="312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Political Partner</w:t>
            </w:r>
          </w:p>
        </w:tc>
        <w:tc>
          <w:tcPr>
            <w:tcW w:type="dxa" w:w="416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Prophetic Response</w:t>
            </w:r>
          </w:p>
        </w:tc>
      </w:tr>
      <w:tr>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Ahaz (Isa. 7)</w:t>
            </w:r>
          </w:p>
        </w:tc>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Sought Assyria for protection</w:t>
            </w:r>
          </w:p>
        </w:tc>
        <w:tc>
          <w:tcPr>
            <w:tcW w:type="dxa" w:w="416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“If ye will not believe, surely ye shall not be established” (7:9).</w:t>
            </w:r>
          </w:p>
        </w:tc>
      </w:tr>
      <w:tr>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Hezekiah (Isa. 30–31)</w:t>
            </w:r>
          </w:p>
        </w:tc>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Sought Egypt against Assyria</w:t>
            </w:r>
          </w:p>
        </w:tc>
        <w:tc>
          <w:tcPr>
            <w:tcW w:type="dxa" w:w="416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Isaiah condemns reliance on human power: “Their strength is to sit still” (30:7).</w:t>
            </w:r>
          </w:p>
        </w:tc>
      </w:tr>
    </w:tbl>
    <w:p>
      <w:pPr>
        <w:spacing w:after="80" w:before="80" w:line="300"/>
        <w:jc w:val="both"/>
      </w:pPr>
      <w:r>
        <w:rPr>
          <w:rFonts w:ascii="Garamond" w:cs="Garamond" w:eastAsia="Garamond" w:hAnsi="Garamond"/>
          <w:sz w:val="24"/>
          <w:szCs w:val="24"/>
        </w:rPr>
        <w:t xml:space="preserve">“Partnership with the state” = turning salvation into politics — trusting the system, not the Savior.</w:t>
      </w:r>
    </w:p>
    <w:p>
      <w:pPr>
        <w:pStyle w:val="Heading2"/>
        <w:spacing w:after="140" w:before="280"/>
      </w:pPr>
      <w:r>
        <w:rPr>
          <w:rFonts w:ascii="Garamond" w:cs="Garamond" w:eastAsia="Garamond" w:hAnsi="Garamond"/>
          <w:b/>
          <w:bCs/>
          <w:sz w:val="28"/>
          <w:szCs w:val="28"/>
        </w:rPr>
        <w:t xml:space="preserve">C. The Theological Contrast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Trust in…</w:t>
            </w:r>
          </w:p>
        </w:tc>
        <w:tc>
          <w:tcPr>
            <w:tcW w:type="dxa" w:w="312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Represents</w:t>
            </w:r>
          </w:p>
        </w:tc>
        <w:tc>
          <w:tcPr>
            <w:tcW w:type="dxa" w:w="312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Outcome</w:t>
            </w:r>
          </w:p>
        </w:tc>
      </w:tr>
      <w:tr>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God (Yahweh)</w:t>
            </w:r>
          </w:p>
        </w:tc>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Faith, covenant, spiritual dependence</w:t>
            </w:r>
          </w:p>
        </w:tc>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Deliverance, renewal, peace (Isa. 26:3; 30:15)</w:t>
            </w:r>
          </w:p>
        </w:tc>
      </w:tr>
      <w:tr>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Man / State / Alliances</w:t>
            </w:r>
          </w:p>
        </w:tc>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Fear, unbelief, idolatry</w:t>
            </w:r>
          </w:p>
        </w:tc>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Destruction, humiliation, exile (Isa. 30:1–3; 31:3)</w:t>
            </w:r>
          </w:p>
        </w:tc>
      </w:tr>
    </w:tbl>
    <w:p>
      <w:pPr>
        <w:spacing w:after="80" w:before="80" w:line="300"/>
        <w:jc w:val="both"/>
      </w:pPr>
      <w:r>
        <w:rPr>
          <w:rFonts w:ascii="Garamond" w:cs="Garamond" w:eastAsia="Garamond" w:hAnsi="Garamond"/>
          <w:sz w:val="24"/>
          <w:szCs w:val="24"/>
        </w:rPr>
        <w:t xml:space="preserve">Isaiah 31:3: “Now the Egyptians are men, and not God; and their horses flesh, and not spirit.” “Egypt” thus becomes a symbol of world systems — governments, economies, and powers that promise safety but enslave spiritually. The prophetic warning re-emerges in Revelation 17–18, where the woman riding the beast pictures religion joined to worldly government rather than to Christ.</w:t>
      </w:r>
    </w:p>
    <w:p>
      <w:pPr>
        <w:pStyle w:val="Heading2"/>
        <w:spacing w:after="140" w:before="280"/>
      </w:pPr>
      <w:r>
        <w:rPr>
          <w:rFonts w:ascii="Garamond" w:cs="Garamond" w:eastAsia="Garamond" w:hAnsi="Garamond"/>
          <w:b/>
          <w:bCs/>
          <w:sz w:val="28"/>
          <w:szCs w:val="28"/>
        </w:rPr>
        <w:t xml:space="preserve">D. The Call</w:t>
      </w:r>
    </w:p>
    <w:p>
      <w:pPr>
        <w:spacing w:after="120" w:before="120" w:line="280"/>
        <w:ind w:left="720" w:right="720"/>
        <w:jc w:val="both"/>
      </w:pPr>
      <w:r>
        <w:rPr>
          <w:rFonts w:ascii="Garamond" w:cs="Garamond" w:eastAsia="Garamond" w:hAnsi="Garamond"/>
          <w:i/>
          <w:iCs/>
          <w:sz w:val="22"/>
          <w:szCs w:val="22"/>
        </w:rPr>
        <w:t xml:space="preserve">Isaiah 30:15: “In returning and rest shall ye be saved; in quietness and in confidence shall be your strength: and ye would not.”</w:t>
      </w:r>
    </w:p>
    <w:p>
      <w:pPr>
        <w:pStyle w:val="Heading1"/>
        <w:spacing w:after="180" w:before="360"/>
        <w:jc w:val="left"/>
      </w:pPr>
      <w:r>
        <w:rPr>
          <w:rFonts w:ascii="Garamond" w:cs="Garamond" w:eastAsia="Garamond" w:hAnsi="Garamond"/>
          <w:b/>
          <w:bCs/>
          <w:sz w:val="32"/>
          <w:szCs w:val="32"/>
        </w:rPr>
        <w:t xml:space="preserve">XIV. Isaiah, the Book of Mormon, and Jesus on Corrupt Law</w:t>
      </w:r>
    </w:p>
    <w:p>
      <w:pPr>
        <w:spacing w:after="80" w:before="80" w:line="300"/>
        <w:jc w:val="both"/>
      </w:pPr>
      <w:r>
        <w:rPr>
          <w:rFonts w:ascii="Garamond" w:cs="Garamond" w:eastAsia="Garamond" w:hAnsi="Garamond"/>
          <w:sz w:val="24"/>
          <w:szCs w:val="24"/>
        </w:rPr>
        <w:t xml:space="preserve">A third axis — connected to the second — runs through corrupt legislation itself. Isaiah, the Book of Mormon, and Jesus each diagnose the same disease.</w:t>
      </w:r>
    </w:p>
    <w:p>
      <w:pPr>
        <w:pStyle w:val="Heading2"/>
        <w:spacing w:after="140" w:before="280"/>
      </w:pPr>
      <w:r>
        <w:rPr>
          <w:rFonts w:ascii="Garamond" w:cs="Garamond" w:eastAsia="Garamond" w:hAnsi="Garamond"/>
          <w:b/>
          <w:bCs/>
          <w:sz w:val="28"/>
          <w:szCs w:val="28"/>
        </w:rPr>
        <w:t xml:space="preserve">A. Isaiah's Indictment of Legislators</w:t>
      </w:r>
    </w:p>
    <w:p>
      <w:pPr>
        <w:spacing w:after="120" w:before="120" w:line="280"/>
        <w:ind w:left="720" w:right="720"/>
        <w:jc w:val="both"/>
      </w:pPr>
      <w:r>
        <w:rPr>
          <w:rFonts w:ascii="Garamond" w:cs="Garamond" w:eastAsia="Garamond" w:hAnsi="Garamond"/>
          <w:i/>
          <w:iCs/>
          <w:sz w:val="22"/>
          <w:szCs w:val="22"/>
        </w:rPr>
        <w:t xml:space="preserve">Isaiah 10:1–2: “Woe unto them that decree unrighteous decrees, and that write grievousness which they have prescribed; To turn aside the needy from judgment, and to take away the right from the poor of my people, that widows may be their prey, and that they may rob the fatherless!”</w:t>
      </w:r>
    </w:p>
    <w:p>
      <w:pPr>
        <w:spacing w:after="80" w:before="80" w:line="300"/>
        <w:jc w:val="both"/>
      </w:pPr>
      <w:r>
        <w:rPr>
          <w:rFonts w:ascii="Garamond" w:cs="Garamond" w:eastAsia="Garamond" w:hAnsi="Garamond"/>
          <w:sz w:val="24"/>
          <w:szCs w:val="24"/>
        </w:rPr>
        <w:t xml:space="preserve">Isaiah is denouncing lawmakers and judges who enact laws favoring the rich, codify oppression as policy, and twist justice against the vulnerable. “Unwise legal laws” = human governance detached from God's moral order.</w:t>
      </w:r>
    </w:p>
    <w:p>
      <w:pPr>
        <w:pStyle w:val="Heading2"/>
        <w:spacing w:after="140" w:before="280"/>
      </w:pPr>
      <w:r>
        <w:rPr>
          <w:rFonts w:ascii="Garamond" w:cs="Garamond" w:eastAsia="Garamond" w:hAnsi="Garamond"/>
          <w:b/>
          <w:bCs/>
          <w:sz w:val="28"/>
          <w:szCs w:val="28"/>
        </w:rPr>
        <w:t xml:space="preserve">B. The True Lawgiver</w:t>
      </w:r>
    </w:p>
    <w:p>
      <w:pPr>
        <w:spacing w:after="120" w:before="120" w:line="280"/>
        <w:ind w:left="720" w:right="720"/>
        <w:jc w:val="both"/>
      </w:pPr>
      <w:r>
        <w:rPr>
          <w:rFonts w:ascii="Garamond" w:cs="Garamond" w:eastAsia="Garamond" w:hAnsi="Garamond"/>
          <w:i/>
          <w:iCs/>
          <w:sz w:val="22"/>
          <w:szCs w:val="22"/>
        </w:rPr>
        <w:t xml:space="preserve">Isaiah 33:22: “For the Lord is our judge, the Lord is our lawgiver, the Lord is our king; He will save us.”</w:t>
      </w:r>
    </w:p>
    <w:p>
      <w:pPr>
        <w:spacing w:after="80" w:before="80" w:line="300"/>
        <w:jc w:val="both"/>
      </w:pPr>
      <w:r>
        <w:rPr>
          <w:rFonts w:ascii="Garamond" w:cs="Garamond" w:eastAsia="Garamond" w:hAnsi="Garamond"/>
          <w:sz w:val="24"/>
          <w:szCs w:val="24"/>
        </w:rPr>
        <w:t xml:space="preserve">To legislate without God's wisdom is to dethrone Him as Lawgiver. Unrighteous laws are not merely inefficient; they are spiritually rebellious.</w:t>
      </w:r>
    </w:p>
    <w:p>
      <w:pPr>
        <w:pStyle w:val="Heading2"/>
        <w:spacing w:after="140" w:before="280"/>
      </w:pPr>
      <w:r>
        <w:rPr>
          <w:rFonts w:ascii="Garamond" w:cs="Garamond" w:eastAsia="Garamond" w:hAnsi="Garamond"/>
          <w:b/>
          <w:bCs/>
          <w:sz w:val="28"/>
          <w:szCs w:val="28"/>
        </w:rPr>
        <w:t xml:space="preserve">C. The Book of Mormon Dramatizes Isaiah's Warning</w:t>
      </w:r>
    </w:p>
    <w:p>
      <w:pPr>
        <w:spacing w:after="80" w:before="80" w:line="300"/>
        <w:jc w:val="both"/>
      </w:pPr>
      <w:r>
        <w:rPr>
          <w:rFonts w:ascii="Garamond" w:cs="Garamond" w:eastAsia="Garamond" w:hAnsi="Garamond"/>
          <w:sz w:val="24"/>
          <w:szCs w:val="24"/>
        </w:rPr>
        <w:t xml:space="preserve">The Nephite record reads almost as a commentary on Isaiah 10 — showing in narrative what Isaiah described in oracle.</w:t>
      </w:r>
    </w:p>
    <w:p>
      <w:pPr>
        <w:spacing w:after="120" w:before="120" w:line="280"/>
        <w:ind w:left="720" w:right="720"/>
        <w:jc w:val="both"/>
      </w:pPr>
      <w:r>
        <w:rPr>
          <w:rFonts w:ascii="Garamond" w:cs="Garamond" w:eastAsia="Garamond" w:hAnsi="Garamond"/>
          <w:i/>
          <w:iCs/>
          <w:sz w:val="22"/>
          <w:szCs w:val="22"/>
        </w:rPr>
        <w:t xml:space="preserve">Alma 10:27: “O ye wicked and perverse generation; ye lawyers and hypocrites, for ye are laying the foundations of the devil; for ye are laying traps and snares to catch the holy ones of God.”</w:t>
      </w:r>
    </w:p>
    <w:p>
      <w:pPr>
        <w:spacing w:after="120" w:before="120" w:line="280"/>
        <w:ind w:left="720" w:right="720"/>
        <w:jc w:val="both"/>
      </w:pPr>
      <w:r>
        <w:rPr>
          <w:rFonts w:ascii="Garamond" w:cs="Garamond" w:eastAsia="Garamond" w:hAnsi="Garamond"/>
          <w:i/>
          <w:iCs/>
          <w:sz w:val="22"/>
          <w:szCs w:val="22"/>
        </w:rPr>
        <w:t xml:space="preserve">Alma 10:32–33: “Now the object of these lawyers was to get gain; and they got gain according to their employ… they did stir up the people to riotings, and all manner of disturbances and wickedness, that they might have more employ.”</w:t>
      </w:r>
    </w:p>
    <w:p>
      <w:pPr>
        <w:spacing w:after="80" w:before="80" w:line="300"/>
        <w:jc w:val="both"/>
      </w:pPr>
      <w:r>
        <w:rPr>
          <w:rFonts w:ascii="Garamond" w:cs="Garamond" w:eastAsia="Garamond" w:hAnsi="Garamond"/>
          <w:sz w:val="24"/>
          <w:szCs w:val="24"/>
        </w:rPr>
        <w:t xml:space="preserve">Alma 11:20 records that judges were paid by the case — a system meant for fairness became one of incentivized injustice. They sought more cases, more crimes, more profit.</w:t>
      </w:r>
    </w:p>
    <w:p>
      <w:pPr>
        <w:spacing w:after="80" w:before="80" w:line="300"/>
        <w:jc w:val="both"/>
      </w:pPr>
      <w:r>
        <w:rPr>
          <w:rFonts w:ascii="Garamond" w:cs="Garamond" w:eastAsia="Garamond" w:hAnsi="Garamond"/>
          <w:sz w:val="24"/>
          <w:szCs w:val="24"/>
        </w:rPr>
        <w:t xml:space="preserve">The arc of Nephite legal corruption is rapid: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80"/>
        <w:gridCol w:w="4160"/>
        <w:gridCol w:w="3120"/>
      </w:tblGrid>
      <w:tr>
        <w:trPr>
          <w:tblHeader/>
        </w:trPr>
        <w:tc>
          <w:tcPr>
            <w:tcW w:type="dxa" w:w="208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Era</w:t>
            </w:r>
          </w:p>
        </w:tc>
        <w:tc>
          <w:tcPr>
            <w:tcW w:type="dxa" w:w="416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Description</w:t>
            </w:r>
          </w:p>
        </w:tc>
        <w:tc>
          <w:tcPr>
            <w:tcW w:type="dxa" w:w="312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References</w:t>
            </w:r>
          </w:p>
        </w:tc>
      </w:tr>
      <w:tr>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Mosiah 29</w:t>
            </w:r>
          </w:p>
        </w:tc>
        <w:tc>
          <w:tcPr>
            <w:tcW w:type="dxa" w:w="416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Law established to ensure equality and freedom</w:t>
            </w:r>
          </w:p>
        </w:tc>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Mosiah 29:25–27</w:t>
            </w:r>
          </w:p>
        </w:tc>
      </w:tr>
      <w:tr>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Alma 10–11</w:t>
            </w:r>
          </w:p>
        </w:tc>
        <w:tc>
          <w:tcPr>
            <w:tcW w:type="dxa" w:w="416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Lawyers and judges pervert the law for gain</w:t>
            </w:r>
          </w:p>
        </w:tc>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Alma 10:27–33; 11:20</w:t>
            </w:r>
          </w:p>
        </w:tc>
      </w:tr>
      <w:tr>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Helaman 7–8</w:t>
            </w:r>
          </w:p>
        </w:tc>
        <w:tc>
          <w:tcPr>
            <w:tcW w:type="dxa" w:w="416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Gadianton robbers infiltrate the judgment-seats</w:t>
            </w:r>
          </w:p>
        </w:tc>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Helaman 7:4–5</w:t>
            </w:r>
          </w:p>
        </w:tc>
      </w:tr>
      <w:tr>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3 Nephi 6</w:t>
            </w:r>
          </w:p>
        </w:tc>
        <w:tc>
          <w:tcPr>
            <w:tcW w:type="dxa" w:w="416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Lawyers and high priests combine to destroy the government</w:t>
            </w:r>
          </w:p>
        </w:tc>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3 Nephi 6:27–30</w:t>
            </w:r>
          </w:p>
        </w:tc>
      </w:tr>
    </w:tbl>
    <w:p>
      <w:pPr>
        <w:pStyle w:val="Heading2"/>
        <w:spacing w:after="140" w:before="280"/>
      </w:pPr>
      <w:r>
        <w:rPr>
          <w:rFonts w:ascii="Garamond" w:cs="Garamond" w:eastAsia="Garamond" w:hAnsi="Garamond"/>
          <w:b/>
          <w:bCs/>
          <w:sz w:val="28"/>
          <w:szCs w:val="28"/>
        </w:rPr>
        <w:t xml:space="preserve">D. Jesus Confronts the Same System</w:t>
      </w:r>
    </w:p>
    <w:p>
      <w:pPr>
        <w:spacing w:after="80" w:before="80" w:line="300"/>
        <w:jc w:val="both"/>
      </w:pPr>
      <w:r>
        <w:rPr>
          <w:rFonts w:ascii="Garamond" w:cs="Garamond" w:eastAsia="Garamond" w:hAnsi="Garamond"/>
          <w:sz w:val="24"/>
          <w:szCs w:val="24"/>
        </w:rPr>
        <w:t xml:space="preserve">By the first century, the Pharisees, Sadducees, scribes, and lawyers had merged religion with law and power.</w:t>
      </w:r>
    </w:p>
    <w:p>
      <w:pPr>
        <w:spacing w:after="120" w:before="120" w:line="280"/>
        <w:ind w:left="720" w:right="720"/>
        <w:jc w:val="both"/>
      </w:pPr>
      <w:r>
        <w:rPr>
          <w:rFonts w:ascii="Garamond" w:cs="Garamond" w:eastAsia="Garamond" w:hAnsi="Garamond"/>
          <w:i/>
          <w:iCs/>
          <w:sz w:val="22"/>
          <w:szCs w:val="22"/>
        </w:rPr>
        <w:t xml:space="preserve">Luke 11:46–52: “Woe unto you also, ye lawyers! for ye lade men with burdens grievous to be borne… ye have taken away the key of knowledge: ye entered not in yourselves, and them that were entering in ye hindered.”</w:t>
      </w:r>
    </w:p>
    <w:p>
      <w:pPr>
        <w:spacing w:after="120" w:before="120" w:line="280"/>
        <w:ind w:left="720" w:right="720"/>
        <w:jc w:val="both"/>
      </w:pPr>
      <w:r>
        <w:rPr>
          <w:rFonts w:ascii="Garamond" w:cs="Garamond" w:eastAsia="Garamond" w:hAnsi="Garamond"/>
          <w:i/>
          <w:iCs/>
          <w:sz w:val="22"/>
          <w:szCs w:val="22"/>
        </w:rPr>
        <w:t xml:space="preserve">Matthew 23:13: “Woe unto you, scribes and Pharisees, hypocrites! for ye shut up the kingdom of heaven against men: for ye neither go in yourselves, neither suffer ye them that are entering to go in.”</w:t>
      </w:r>
    </w:p>
    <w:p>
      <w:pPr>
        <w:spacing w:after="80" w:before="80" w:line="300"/>
        <w:jc w:val="both"/>
      </w:pPr>
      <w:r>
        <w:rPr>
          <w:rFonts w:ascii="Garamond" w:cs="Garamond" w:eastAsia="Garamond" w:hAnsi="Garamond"/>
          <w:sz w:val="24"/>
          <w:szCs w:val="24"/>
        </w:rPr>
        <w:t xml:space="preserve">When Jesus was tried before the Sanhedrin and Pilate, the legal system itself was corrupt — an exact fulfillment of Isaiah's warning. They made the crucifixion legal under both Jewish and Roman law. Legality ≠ righteousness. Law had become a weapon against truth.</w:t>
      </w:r>
    </w:p>
    <w:p>
      <w:pPr>
        <w:pStyle w:val="Heading2"/>
        <w:spacing w:after="140" w:before="280"/>
      </w:pPr>
      <w:r>
        <w:rPr>
          <w:rFonts w:ascii="Garamond" w:cs="Garamond" w:eastAsia="Garamond" w:hAnsi="Garamond"/>
          <w:b/>
          <w:bCs/>
          <w:sz w:val="28"/>
          <w:szCs w:val="28"/>
        </w:rPr>
        <w:t xml:space="preserve">E. Christ's Restoration of Law</w:t>
      </w:r>
    </w:p>
    <w:p>
      <w:pPr>
        <w:spacing w:after="80" w:before="80" w:line="300"/>
        <w:jc w:val="both"/>
      </w:pPr>
      <w:r>
        <w:rPr>
          <w:rFonts w:ascii="Garamond" w:cs="Garamond" w:eastAsia="Garamond" w:hAnsi="Garamond"/>
          <w:sz w:val="24"/>
          <w:szCs w:val="24"/>
        </w:rPr>
        <w:t xml:space="preserve">Christ did not abolish divine law; He restored its spiritual intent.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Human Legalism</w:t>
            </w:r>
          </w:p>
        </w:tc>
        <w:tc>
          <w:tcPr>
            <w:tcW w:type="dxa" w:w="468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Divine Law</w:t>
            </w:r>
          </w:p>
        </w:tc>
      </w:tr>
      <w:tr>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External conformity</w:t>
            </w:r>
          </w:p>
        </w:tc>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Inner transformation</w:t>
            </w:r>
          </w:p>
        </w:tc>
      </w:tr>
      <w:tr>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Control and status</w:t>
            </w:r>
          </w:p>
        </w:tc>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Compassion and humility</w:t>
            </w:r>
          </w:p>
        </w:tc>
      </w:tr>
      <w:tr>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Legal loopholes</w:t>
            </w:r>
          </w:p>
        </w:tc>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Love and righteousness</w:t>
            </w:r>
          </w:p>
        </w:tc>
      </w:tr>
      <w:tr>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Power by fear</w:t>
            </w:r>
          </w:p>
        </w:tc>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Power by Spirit</w:t>
            </w:r>
          </w:p>
        </w:tc>
      </w:tr>
    </w:tbl>
    <w:p>
      <w:pPr>
        <w:spacing w:after="120" w:before="120" w:line="280"/>
        <w:ind w:left="720" w:right="720"/>
        <w:jc w:val="both"/>
      </w:pPr>
      <w:r>
        <w:rPr>
          <w:rFonts w:ascii="Garamond" w:cs="Garamond" w:eastAsia="Garamond" w:hAnsi="Garamond"/>
          <w:i/>
          <w:iCs/>
          <w:sz w:val="22"/>
          <w:szCs w:val="22"/>
        </w:rPr>
        <w:t xml:space="preserve">Matthew 22:37–40: “Thou shalt love the Lord thy God with all thy heart… and thy neighbor as thyself. On these two commandments hang all the law and the prophets.”</w:t>
      </w:r>
    </w:p>
    <w:p>
      <w:pPr>
        <w:pStyle w:val="Heading2"/>
        <w:spacing w:after="140" w:before="280"/>
      </w:pPr>
      <w:r>
        <w:rPr>
          <w:rFonts w:ascii="Garamond" w:cs="Garamond" w:eastAsia="Garamond" w:hAnsi="Garamond"/>
          <w:b/>
          <w:bCs/>
          <w:sz w:val="28"/>
          <w:szCs w:val="28"/>
        </w:rPr>
        <w:t xml:space="preserve">F. The Unified Witness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72"/>
        <w:gridCol w:w="2496"/>
        <w:gridCol w:w="2496"/>
        <w:gridCol w:w="2496"/>
      </w:tblGrid>
      <w:tr>
        <w:trPr>
          <w:tblHeader/>
        </w:trPr>
        <w:tc>
          <w:tcPr>
            <w:tcW w:type="dxa" w:w="1872"/>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Theme</w:t>
            </w:r>
          </w:p>
        </w:tc>
        <w:tc>
          <w:tcPr>
            <w:tcW w:type="dxa" w:w="2496"/>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Isaiah</w:t>
            </w:r>
          </w:p>
        </w:tc>
        <w:tc>
          <w:tcPr>
            <w:tcW w:type="dxa" w:w="2496"/>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Jesus</w:t>
            </w:r>
          </w:p>
        </w:tc>
        <w:tc>
          <w:tcPr>
            <w:tcW w:type="dxa" w:w="2496"/>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Book of Mormon</w:t>
            </w:r>
          </w:p>
        </w:tc>
      </w:tr>
      <w:tr>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Unrighteous decrees</w:t>
            </w:r>
          </w:p>
        </w:tc>
        <w:tc>
          <w:tcPr>
            <w:tcW w:type="dxa" w:w="2496"/>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Isa. 10:1–2</w:t>
            </w:r>
          </w:p>
        </w:tc>
        <w:tc>
          <w:tcPr>
            <w:tcW w:type="dxa" w:w="2496"/>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Luke 11:46–52</w:t>
            </w:r>
          </w:p>
        </w:tc>
        <w:tc>
          <w:tcPr>
            <w:tcW w:type="dxa" w:w="2496"/>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Alma 10:27–33</w:t>
            </w:r>
          </w:p>
        </w:tc>
      </w:tr>
      <w:tr>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Corrupt leaders for gain</w:t>
            </w:r>
          </w:p>
        </w:tc>
        <w:tc>
          <w:tcPr>
            <w:tcW w:type="dxa" w:w="2496"/>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Isa. 1:23</w:t>
            </w:r>
          </w:p>
        </w:tc>
        <w:tc>
          <w:tcPr>
            <w:tcW w:type="dxa" w:w="2496"/>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Matt. 23:14</w:t>
            </w:r>
          </w:p>
        </w:tc>
        <w:tc>
          <w:tcPr>
            <w:tcW w:type="dxa" w:w="2496"/>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Helaman 7:5</w:t>
            </w:r>
          </w:p>
        </w:tc>
      </w:tr>
      <w:tr>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Traps for the righteous</w:t>
            </w:r>
          </w:p>
        </w:tc>
        <w:tc>
          <w:tcPr>
            <w:tcW w:type="dxa" w:w="2496"/>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Isa. 29:21</w:t>
            </w:r>
          </w:p>
        </w:tc>
        <w:tc>
          <w:tcPr>
            <w:tcW w:type="dxa" w:w="2496"/>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Luke 20:20</w:t>
            </w:r>
          </w:p>
        </w:tc>
        <w:tc>
          <w:tcPr>
            <w:tcW w:type="dxa" w:w="2496"/>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Alma 10:27</w:t>
            </w:r>
          </w:p>
        </w:tc>
      </w:tr>
      <w:tr>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Loss of true law</w:t>
            </w:r>
          </w:p>
        </w:tc>
        <w:tc>
          <w:tcPr>
            <w:tcW w:type="dxa" w:w="2496"/>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Isa. 59:14</w:t>
            </w:r>
          </w:p>
        </w:tc>
        <w:tc>
          <w:tcPr>
            <w:tcW w:type="dxa" w:w="2496"/>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Matt. 23:23</w:t>
            </w:r>
          </w:p>
        </w:tc>
        <w:tc>
          <w:tcPr>
            <w:tcW w:type="dxa" w:w="2496"/>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Helaman 5:2</w:t>
            </w:r>
          </w:p>
        </w:tc>
      </w:tr>
      <w:tr>
        <w:tc>
          <w:tcPr>
            <w:tcW w:type="dxa" w:w="1872"/>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Divine solution</w:t>
            </w:r>
          </w:p>
        </w:tc>
        <w:tc>
          <w:tcPr>
            <w:tcW w:type="dxa" w:w="2496"/>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“The Lord is our lawgiver” (33:22)</w:t>
            </w:r>
          </w:p>
        </w:tc>
        <w:tc>
          <w:tcPr>
            <w:tcW w:type="dxa" w:w="2496"/>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“Love fulfills the law” (Matt. 22:40)</w:t>
            </w:r>
          </w:p>
        </w:tc>
        <w:tc>
          <w:tcPr>
            <w:tcW w:type="dxa" w:w="2496"/>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“The Spirit of Christ is given to every man” (Moroni 7:16)</w:t>
            </w:r>
          </w:p>
        </w:tc>
      </w:tr>
    </w:tbl>
    <w:p>
      <w:pPr>
        <w:spacing w:after="80" w:before="80" w:line="300"/>
        <w:jc w:val="both"/>
      </w:pPr>
      <w:r>
        <w:rPr>
          <w:rFonts w:ascii="Garamond" w:cs="Garamond" w:eastAsia="Garamond" w:hAnsi="Garamond"/>
          <w:sz w:val="24"/>
          <w:szCs w:val="24"/>
        </w:rPr>
        <w:t xml:space="preserve">The principle is constant: when religion and law unite without revelation, justice dies. True law is born from God's Spirit, not from human power. Every time humanity replaces revelation with regulation, the covenant collapses — and God raises up a new restoration.</w:t>
      </w:r>
    </w:p>
    <w:p>
      <w:pPr>
        <w:pStyle w:val="Heading1"/>
        <w:spacing w:after="180" w:before="360"/>
        <w:jc w:val="left"/>
      </w:pPr>
      <w:r>
        <w:rPr>
          <w:rFonts w:ascii="Garamond" w:cs="Garamond" w:eastAsia="Garamond" w:hAnsi="Garamond"/>
          <w:b/>
          <w:bCs/>
          <w:sz w:val="32"/>
          <w:szCs w:val="32"/>
        </w:rPr>
        <w:t xml:space="preserve">XV. The Power of Godliness — Form Without Power</w:t>
      </w:r>
    </w:p>
    <w:p>
      <w:pPr>
        <w:spacing w:after="80" w:before="80" w:line="300"/>
        <w:jc w:val="both"/>
      </w:pPr>
      <w:r>
        <w:rPr>
          <w:rFonts w:ascii="Garamond" w:cs="Garamond" w:eastAsia="Garamond" w:hAnsi="Garamond"/>
          <w:sz w:val="24"/>
          <w:szCs w:val="24"/>
        </w:rPr>
        <w:t xml:space="preserve">The threads converge in one phrase that ties Paul, the Doctrine and Covenants, Isaiah, Malachi, and Joseph Smith into a single doctrine.</w:t>
      </w:r>
    </w:p>
    <w:p>
      <w:pPr>
        <w:pStyle w:val="Heading2"/>
        <w:spacing w:after="140" w:before="280"/>
      </w:pPr>
      <w:r>
        <w:rPr>
          <w:rFonts w:ascii="Garamond" w:cs="Garamond" w:eastAsia="Garamond" w:hAnsi="Garamond"/>
          <w:b/>
          <w:bCs/>
          <w:sz w:val="28"/>
          <w:szCs w:val="28"/>
        </w:rPr>
        <w:t xml:space="preserve">A. The Two Texts</w:t>
      </w:r>
    </w:p>
    <w:p>
      <w:pPr>
        <w:spacing w:after="120" w:before="120" w:line="280"/>
        <w:ind w:left="720" w:right="720"/>
        <w:jc w:val="both"/>
      </w:pPr>
      <w:r>
        <w:rPr>
          <w:rFonts w:ascii="Garamond" w:cs="Garamond" w:eastAsia="Garamond" w:hAnsi="Garamond"/>
          <w:i/>
          <w:iCs/>
          <w:sz w:val="22"/>
          <w:szCs w:val="22"/>
        </w:rPr>
        <w:t xml:space="preserve">2 Timothy 3:5: “Having a form of godliness, but denying the power thereof: from such turn away.”</w:t>
      </w:r>
    </w:p>
    <w:p>
      <w:pPr>
        <w:spacing w:after="120" w:before="120" w:line="280"/>
        <w:ind w:left="720" w:right="720"/>
        <w:jc w:val="both"/>
      </w:pPr>
      <w:r>
        <w:rPr>
          <w:rFonts w:ascii="Garamond" w:cs="Garamond" w:eastAsia="Garamond" w:hAnsi="Garamond"/>
          <w:i/>
          <w:iCs/>
          <w:sz w:val="22"/>
          <w:szCs w:val="22"/>
        </w:rPr>
        <w:t xml:space="preserve">Doctrine and Covenants 84:19–22: “This greater priesthood administereth the gospel and holdeth the key of the mysteries of the kingdom, even the key of the knowledge of God. Therefore, in the ordinances thereof, the power of godliness is manifest. And without the ordinances thereof, and the authority of the priesthood, the power of godliness is not manifest unto men in the flesh.”</w:t>
      </w:r>
    </w:p>
    <w:p>
      <w:pPr>
        <w:pStyle w:val="Heading2"/>
        <w:spacing w:after="140" w:before="280"/>
      </w:pPr>
      <w:r>
        <w:rPr>
          <w:rFonts w:ascii="Garamond" w:cs="Garamond" w:eastAsia="Garamond" w:hAnsi="Garamond"/>
          <w:b/>
          <w:bCs/>
          <w:sz w:val="28"/>
          <w:szCs w:val="28"/>
        </w:rPr>
        <w:t xml:space="preserve">B. Definition</w:t>
      </w:r>
    </w:p>
    <w:p>
      <w:pPr>
        <w:spacing w:after="80" w:before="80" w:line="300"/>
        <w:jc w:val="both"/>
      </w:pPr>
      <w:r>
        <w:rPr>
          <w:rFonts w:ascii="Garamond" w:cs="Garamond" w:eastAsia="Garamond" w:hAnsi="Garamond"/>
          <w:sz w:val="24"/>
          <w:szCs w:val="24"/>
        </w:rPr>
        <w:t xml:space="preserve">The power of godliness is the actual, enabling power of God that transforms and sanctifies human beings through covenants, ordinances, and priesthood authority. It is not the appearance of holiness but the real presence of divine power mediated through authorized ordinances. This power cleanses and changes hearts (Mosiah 5:2; Alma 13:12), connects mortals to heaven through covenants, and makes possible the personal knowledge of God (D&amp;C 84:19).</w:t>
      </w:r>
    </w:p>
    <w:p>
      <w:pPr>
        <w:pStyle w:val="Heading2"/>
        <w:spacing w:after="140" w:before="280"/>
      </w:pPr>
      <w:r>
        <w:rPr>
          <w:rFonts w:ascii="Garamond" w:cs="Garamond" w:eastAsia="Garamond" w:hAnsi="Garamond"/>
          <w:b/>
          <w:bCs/>
          <w:sz w:val="28"/>
          <w:szCs w:val="28"/>
        </w:rPr>
        <w:t xml:space="preserve">C. The Contrast — Form Without Power</w:t>
      </w:r>
    </w:p>
    <w:p>
      <w:pPr>
        <w:spacing w:after="80" w:before="80" w:line="300"/>
        <w:jc w:val="both"/>
      </w:pPr>
      <w:r>
        <w:rPr>
          <w:rFonts w:ascii="Garamond" w:cs="Garamond" w:eastAsia="Garamond" w:hAnsi="Garamond"/>
          <w:sz w:val="24"/>
          <w:szCs w:val="24"/>
        </w:rPr>
        <w:t xml:space="preserve">Paul's warning describes apostasy: religion retaining outward rituals but without divine authority or spiritual effect. Isaiah and Jeremiah voiced the same critique:</w:t>
      </w:r>
    </w:p>
    <w:p>
      <w:pPr>
        <w:pStyle w:val="ListParagraph"/>
        <w:numPr>
          <w:ilvl w:val="0"/>
          <w:numId w:val="2"/>
        </w:numPr>
        <w:spacing w:after="60" w:before="60" w:line="280"/>
      </w:pPr>
      <w:r>
        <w:rPr>
          <w:rFonts w:ascii="Garamond" w:cs="Garamond" w:eastAsia="Garamond" w:hAnsi="Garamond"/>
          <w:sz w:val="24"/>
          <w:szCs w:val="24"/>
        </w:rPr>
        <w:t xml:space="preserve">Isaiah 29:13 — “This people draw near me with their mouth… but have removed their heart far from me.”</w:t>
      </w:r>
    </w:p>
    <w:p>
      <w:pPr>
        <w:pStyle w:val="ListParagraph"/>
        <w:numPr>
          <w:ilvl w:val="0"/>
          <w:numId w:val="2"/>
        </w:numPr>
        <w:spacing w:after="60" w:before="60" w:line="280"/>
      </w:pPr>
      <w:r>
        <w:rPr>
          <w:rFonts w:ascii="Garamond" w:cs="Garamond" w:eastAsia="Garamond" w:hAnsi="Garamond"/>
          <w:sz w:val="24"/>
          <w:szCs w:val="24"/>
        </w:rPr>
        <w:t xml:space="preserve">Jeremiah 7:9–10 — “Will ye steal, murder, and commit adultery… and come and stand before me in this house?”</w:t>
      </w:r>
    </w:p>
    <w:p>
      <w:pPr>
        <w:spacing w:after="80" w:before="80" w:line="300"/>
        <w:jc w:val="both"/>
      </w:pPr>
      <w:r>
        <w:rPr>
          <w:rFonts w:ascii="Garamond" w:cs="Garamond" w:eastAsia="Garamond" w:hAnsi="Garamond"/>
          <w:sz w:val="24"/>
          <w:szCs w:val="24"/>
        </w:rPr>
        <w:t xml:space="preserve">Apostasy was therefore characterized by “a form of godliness” — creeds, ceremonies, institutions — without priesthood keys or living revelation.</w:t>
      </w:r>
    </w:p>
    <w:p>
      <w:pPr>
        <w:pStyle w:val="Heading2"/>
        <w:spacing w:after="140" w:before="280"/>
      </w:pPr>
      <w:r>
        <w:rPr>
          <w:rFonts w:ascii="Garamond" w:cs="Garamond" w:eastAsia="Garamond" w:hAnsi="Garamond"/>
          <w:b/>
          <w:bCs/>
          <w:sz w:val="28"/>
          <w:szCs w:val="28"/>
        </w:rPr>
        <w:t xml:space="preserve">D. The Restoration Connection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6240"/>
      </w:tblGrid>
      <w:tr>
        <w:trPr>
          <w:tblHeader/>
        </w:trPr>
        <w:tc>
          <w:tcPr>
            <w:tcW w:type="dxa" w:w="312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Layer</w:t>
            </w:r>
          </w:p>
        </w:tc>
        <w:tc>
          <w:tcPr>
            <w:tcW w:type="dxa" w:w="624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Meaning</w:t>
            </w:r>
          </w:p>
        </w:tc>
      </w:tr>
      <w:tr>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Moral / Ethical</w:t>
            </w:r>
          </w:p>
        </w:tc>
        <w:tc>
          <w:tcPr>
            <w:tcW w:type="dxa" w:w="62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Living by godly attributes (faith, virtue, charity)</w:t>
            </w:r>
          </w:p>
        </w:tc>
      </w:tr>
      <w:tr>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Covenantal</w:t>
            </w:r>
          </w:p>
        </w:tc>
        <w:tc>
          <w:tcPr>
            <w:tcW w:type="dxa" w:w="62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Participating in ordinances that bind earth to heaven</w:t>
            </w:r>
          </w:p>
        </w:tc>
      </w:tr>
      <w:tr>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Ontological</w:t>
            </w:r>
          </w:p>
        </w:tc>
        <w:tc>
          <w:tcPr>
            <w:tcW w:type="dxa" w:w="62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Experiencing divine transformation — becoming godly</w:t>
            </w:r>
          </w:p>
        </w:tc>
      </w:tr>
      <w:tr>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Eschatological</w:t>
            </w:r>
          </w:p>
        </w:tc>
        <w:tc>
          <w:tcPr>
            <w:tcW w:type="dxa" w:w="62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Power to enter the presence of God (exaltation)</w:t>
            </w:r>
          </w:p>
        </w:tc>
      </w:tr>
    </w:tbl>
    <w:p>
      <w:pPr>
        <w:spacing w:after="80" w:before="80" w:line="300"/>
        <w:jc w:val="both"/>
      </w:pPr>
      <w:r>
        <w:rPr>
          <w:rFonts w:ascii="Garamond" w:cs="Garamond" w:eastAsia="Garamond" w:hAnsi="Garamond"/>
          <w:sz w:val="24"/>
          <w:szCs w:val="24"/>
        </w:rPr>
        <w:t xml:space="preserve">The Aaronic Priesthood (restored 1829) prepares through repentance and baptism. The Melchizedek Priesthood (restored shortly after) makes possible the higher ordinances — the gift of the Holy Ghost, temple covenants, and direct access to God's presence. Without ordinances and priesthood authority, the power of godliness is not manifest unto men in the flesh (D&amp;C 84:21).</w:t>
      </w:r>
    </w:p>
    <w:p>
      <w:r>
        <w:br w:type="page"/>
      </w:r>
    </w:p>
    <w:p>
      <w:pPr>
        <w:pStyle w:val="Heading1"/>
        <w:spacing w:after="240" w:before="480"/>
        <w:jc w:val="center"/>
      </w:pPr>
      <w:r>
        <w:rPr>
          <w:rFonts w:ascii="Garamond" w:cs="Garamond" w:eastAsia="Garamond" w:hAnsi="Garamond"/>
          <w:b/>
          <w:bCs/>
          <w:smallCaps/>
          <w:sz w:val="34"/>
          <w:szCs w:val="34"/>
        </w:rPr>
        <w:t xml:space="preserve">Part V — The Preserved Word and the Land of Promise</w:t>
      </w:r>
    </w:p>
    <w:p>
      <w:pPr>
        <w:pStyle w:val="Heading1"/>
        <w:spacing w:after="180" w:before="360"/>
        <w:jc w:val="left"/>
      </w:pPr>
      <w:r>
        <w:rPr>
          <w:rFonts w:ascii="Garamond" w:cs="Garamond" w:eastAsia="Garamond" w:hAnsi="Garamond"/>
          <w:b/>
          <w:bCs/>
          <w:sz w:val="32"/>
          <w:szCs w:val="32"/>
        </w:rPr>
        <w:t xml:space="preserve">XVI. The Brass Plates and the Woman in the Wilderness</w:t>
      </w:r>
    </w:p>
    <w:p>
      <w:pPr>
        <w:spacing w:after="80" w:before="80" w:line="300"/>
        <w:jc w:val="both"/>
      </w:pPr>
      <w:r>
        <w:rPr>
          <w:rFonts w:ascii="Garamond" w:cs="Garamond" w:eastAsia="Garamond" w:hAnsi="Garamond"/>
          <w:sz w:val="24"/>
          <w:szCs w:val="24"/>
        </w:rPr>
        <w:t xml:space="preserve">If the woman represents the Church preserved during a long apostasy, the plates of brass function as a parallel image at the level of the word. Just as the woman is hidden, nourished, and ultimately re-emerges, so the sacred record is hidden, preserved, and ultimately revealed.</w:t>
      </w:r>
    </w:p>
    <w:p>
      <w:pPr>
        <w:pStyle w:val="Heading2"/>
        <w:spacing w:after="140" w:before="280"/>
      </w:pPr>
      <w:r>
        <w:rPr>
          <w:rFonts w:ascii="Garamond" w:cs="Garamond" w:eastAsia="Garamond" w:hAnsi="Garamond"/>
          <w:b/>
          <w:bCs/>
          <w:sz w:val="28"/>
          <w:szCs w:val="28"/>
        </w:rPr>
        <w:t xml:space="preserve">A. The Brass Plates as Preserved Record</w:t>
      </w:r>
    </w:p>
    <w:p>
      <w:pPr>
        <w:spacing w:after="80" w:before="80" w:line="300"/>
        <w:jc w:val="both"/>
      </w:pPr>
      <w:r>
        <w:rPr>
          <w:rFonts w:ascii="Garamond" w:cs="Garamond" w:eastAsia="Garamond" w:hAnsi="Garamond"/>
          <w:sz w:val="24"/>
          <w:szCs w:val="24"/>
        </w:rPr>
        <w:t xml:space="preserve">When Lehi's family fled Jerusalem (circa 600 B.C.), Nephi was commanded to obtain the plates of brass, containing:</w:t>
      </w:r>
    </w:p>
    <w:p>
      <w:pPr>
        <w:spacing w:after="120" w:before="120" w:line="280"/>
        <w:ind w:left="720" w:right="720"/>
        <w:jc w:val="both"/>
      </w:pPr>
      <w:r>
        <w:rPr>
          <w:rFonts w:ascii="Garamond" w:cs="Garamond" w:eastAsia="Garamond" w:hAnsi="Garamond"/>
          <w:i/>
          <w:iCs/>
          <w:sz w:val="22"/>
          <w:szCs w:val="22"/>
        </w:rPr>
        <w:t xml:space="preserve">1 Nephi 5:11–13: “The five books of Moses… a record of the Jews, and also the prophecies of the holy prophets from the beginning, even down to the commencement of the reign of Zedekiah… and also the prophecies of Isaiah.”</w:t>
      </w:r>
    </w:p>
    <w:p>
      <w:pPr>
        <w:spacing w:after="80" w:before="80" w:line="300"/>
        <w:jc w:val="both"/>
      </w:pPr>
      <w:r>
        <w:rPr>
          <w:rFonts w:ascii="Garamond" w:cs="Garamond" w:eastAsia="Garamond" w:hAnsi="Garamond"/>
          <w:sz w:val="24"/>
          <w:szCs w:val="24"/>
        </w:rPr>
        <w:t xml:space="preserve">These plates were a vessel of preservation, securing a pure textual and prophetic tradition while Jerusalem's written heritage faced destruction by Babylon.</w:t>
      </w:r>
    </w:p>
    <w:p>
      <w:pPr>
        <w:pStyle w:val="Heading2"/>
        <w:spacing w:after="140" w:before="280"/>
      </w:pPr>
      <w:r>
        <w:rPr>
          <w:rFonts w:ascii="Garamond" w:cs="Garamond" w:eastAsia="Garamond" w:hAnsi="Garamond"/>
          <w:b/>
          <w:bCs/>
          <w:sz w:val="28"/>
          <w:szCs w:val="28"/>
        </w:rPr>
        <w:t xml:space="preserve">B. Isaiah as Wilderness Nourishment</w:t>
      </w:r>
    </w:p>
    <w:p>
      <w:pPr>
        <w:spacing w:after="80" w:before="80" w:line="300"/>
        <w:jc w:val="both"/>
      </w:pPr>
      <w:r>
        <w:rPr>
          <w:rFonts w:ascii="Garamond" w:cs="Garamond" w:eastAsia="Garamond" w:hAnsi="Garamond"/>
          <w:sz w:val="24"/>
          <w:szCs w:val="24"/>
        </w:rPr>
        <w:t xml:space="preserve">Nephi explicitly says, “I, Nephi, did liken all scriptures unto us, that it might be for our profit and learning” (1 Nephi 19:23). Isaiah's prophecies — carried on the brass plates and quoted extensively by Nephi and Jacob — became the spiritual nourishment of the Lehite covenant community in their new land.</w:t>
      </w:r>
    </w:p>
    <w:p>
      <w:pPr>
        <w:spacing w:after="80" w:before="80" w:line="300"/>
        <w:jc w:val="both"/>
      </w:pPr>
      <w:r>
        <w:rPr>
          <w:rFonts w:ascii="Garamond" w:cs="Garamond" w:eastAsia="Garamond" w:hAnsi="Garamond"/>
          <w:sz w:val="24"/>
          <w:szCs w:val="24"/>
        </w:rPr>
        <w:t xml:space="preserve">In this sense, the woman (the covenant community) was nourished in the wilderness by the very words of Isaiah — truth preserved in a hidden land across the waters. Just as Revelation 12's woman was protected for “a time, times, and half a time,” the Nephite record, containing Isaiah's words, was kept from the world during the long 1,260-year wilderness of apostasy.</w:t>
      </w:r>
    </w:p>
    <w:p>
      <w:pPr>
        <w:pStyle w:val="Heading2"/>
        <w:spacing w:after="140" w:before="280"/>
      </w:pPr>
      <w:r>
        <w:rPr>
          <w:rFonts w:ascii="Garamond" w:cs="Garamond" w:eastAsia="Garamond" w:hAnsi="Garamond"/>
          <w:b/>
          <w:bCs/>
          <w:sz w:val="28"/>
          <w:szCs w:val="28"/>
        </w:rPr>
        <w:t xml:space="preserve">C. The Restoration as the Revealing of the Hidden Record</w:t>
      </w:r>
    </w:p>
    <w:p>
      <w:pPr>
        <w:spacing w:after="80" w:before="80" w:line="300"/>
        <w:jc w:val="both"/>
      </w:pPr>
      <w:r>
        <w:rPr>
          <w:rFonts w:ascii="Garamond" w:cs="Garamond" w:eastAsia="Garamond" w:hAnsi="Garamond"/>
          <w:sz w:val="24"/>
          <w:szCs w:val="24"/>
        </w:rPr>
        <w:t xml:space="preserve">When the Book of Mormon came forth in 1829–1830, the woman's nourishment became public again — truth emerging from centuries of concealment. Isaiah's words, once preserved in the wilderness of the Nephite archive, now stood as living testimony that “the Lord will set his hand again the second time to recover his people” (2 Nephi 21:11 = Isa. 11:11).</w:t>
      </w:r>
    </w:p>
    <w:p>
      <w:pPr>
        <w:pStyle w:val="Heading2"/>
        <w:spacing w:after="140" w:before="280"/>
      </w:pPr>
      <w:r>
        <w:rPr>
          <w:rFonts w:ascii="Garamond" w:cs="Garamond" w:eastAsia="Garamond" w:hAnsi="Garamond"/>
          <w:b/>
          <w:bCs/>
          <w:sz w:val="28"/>
          <w:szCs w:val="28"/>
        </w:rPr>
        <w:t xml:space="preserve">D. The Typological Parallels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Symbol / Prophecy</w:t>
            </w:r>
          </w:p>
        </w:tc>
        <w:tc>
          <w:tcPr>
            <w:tcW w:type="dxa" w:w="234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Hidden Period</w:t>
            </w:r>
          </w:p>
        </w:tc>
        <w:tc>
          <w:tcPr>
            <w:tcW w:type="dxa" w:w="234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Preservation</w:t>
            </w:r>
          </w:p>
        </w:tc>
        <w:tc>
          <w:tcPr>
            <w:tcW w:type="dxa" w:w="234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Restoration Fulfillment</w:t>
            </w:r>
          </w:p>
        </w:tc>
      </w:tr>
      <w:tr>
        <w:tc>
          <w:tcPr>
            <w:tcW w:type="dxa" w:w="23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Revelation 12 — The Woman</w:t>
            </w:r>
          </w:p>
        </w:tc>
        <w:tc>
          <w:tcPr>
            <w:tcW w:type="dxa" w:w="23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1,260 years in the wilderness</w:t>
            </w:r>
          </w:p>
        </w:tc>
        <w:tc>
          <w:tcPr>
            <w:tcW w:type="dxa" w:w="23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Nourished by God, unseen</w:t>
            </w:r>
          </w:p>
        </w:tc>
        <w:tc>
          <w:tcPr>
            <w:tcW w:type="dxa" w:w="23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Re-emerges as the Church of Christ (1830)</w:t>
            </w:r>
          </w:p>
        </w:tc>
      </w:tr>
      <w:tr>
        <w:tc>
          <w:tcPr>
            <w:tcW w:type="dxa" w:w="23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Lehi's brass plates</w:t>
            </w:r>
          </w:p>
        </w:tc>
        <w:tc>
          <w:tcPr>
            <w:tcW w:type="dxa" w:w="23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600 B.C. → 421 A.D. → 1827</w:t>
            </w:r>
          </w:p>
        </w:tc>
        <w:tc>
          <w:tcPr>
            <w:tcW w:type="dxa" w:w="23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Contain Isaiah's prophecies and law</w:t>
            </w:r>
          </w:p>
        </w:tc>
        <w:tc>
          <w:tcPr>
            <w:tcW w:type="dxa" w:w="23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Revealed as the Book of Mormon</w:t>
            </w:r>
          </w:p>
        </w:tc>
      </w:tr>
      <w:tr>
        <w:tc>
          <w:tcPr>
            <w:tcW w:type="dxa" w:w="23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Isaiah 49:2 — “He hath made me a polished shaft; in his quiver hath he hid me”</w:t>
            </w:r>
          </w:p>
        </w:tc>
        <w:tc>
          <w:tcPr>
            <w:tcW w:type="dxa" w:w="23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Word of God hidden from the nations</w:t>
            </w:r>
          </w:p>
        </w:tc>
        <w:tc>
          <w:tcPr>
            <w:tcW w:type="dxa" w:w="23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Reserved for the last days</w:t>
            </w:r>
          </w:p>
        </w:tc>
        <w:tc>
          <w:tcPr>
            <w:tcW w:type="dxa" w:w="23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Book of Mormon unveiled; gospel goes forth</w:t>
            </w:r>
          </w:p>
        </w:tc>
      </w:tr>
    </w:tbl>
    <w:p>
      <w:pPr>
        <w:spacing w:after="80" w:before="80" w:line="300"/>
        <w:jc w:val="both"/>
      </w:pPr>
      <w:r>
        <w:rPr>
          <w:rFonts w:ascii="Garamond" w:cs="Garamond" w:eastAsia="Garamond" w:hAnsi="Garamond"/>
          <w:sz w:val="24"/>
          <w:szCs w:val="24"/>
        </w:rPr>
        <w:t xml:space="preserve">In all three, divine truth is hidden, preserved, and then restored. The brass plates were to scripture what the woman was to the Church: a vessel of preservation during the wilderness.</w:t>
      </w:r>
    </w:p>
    <w:p>
      <w:pPr>
        <w:pStyle w:val="Heading1"/>
        <w:spacing w:after="180" w:before="360"/>
        <w:jc w:val="left"/>
      </w:pPr>
      <w:r>
        <w:rPr>
          <w:rFonts w:ascii="Garamond" w:cs="Garamond" w:eastAsia="Garamond" w:hAnsi="Garamond"/>
          <w:b/>
          <w:bCs/>
          <w:sz w:val="32"/>
          <w:szCs w:val="32"/>
        </w:rPr>
        <w:t xml:space="preserve">XVII. The Plain and Precious Truths Lost from the Bible</w:t>
      </w:r>
    </w:p>
    <w:p>
      <w:pPr>
        <w:spacing w:after="80" w:before="80" w:line="300"/>
        <w:jc w:val="both"/>
      </w:pPr>
      <w:r>
        <w:rPr>
          <w:rFonts w:ascii="Garamond" w:cs="Garamond" w:eastAsia="Garamond" w:hAnsi="Garamond"/>
          <w:sz w:val="24"/>
          <w:szCs w:val="24"/>
        </w:rPr>
        <w:t xml:space="preserve">If the brass plates illustrate what was preserved across the wilderness, Nephi's vision of the Bible's transmission illustrates what was lost in plain sight. The two pictures are complementary: the same prophet who watched the sacred record vanish into the world also watched the world's Bible quietly emptied of its plainness.</w:t>
      </w:r>
    </w:p>
    <w:p>
      <w:pPr>
        <w:pStyle w:val="Heading2"/>
        <w:spacing w:after="140" w:before="280"/>
      </w:pPr>
      <w:r>
        <w:rPr>
          <w:rFonts w:ascii="Garamond" w:cs="Garamond" w:eastAsia="Garamond" w:hAnsi="Garamond"/>
          <w:b/>
          <w:bCs/>
          <w:sz w:val="28"/>
          <w:szCs w:val="28"/>
        </w:rPr>
        <w:t xml:space="preserve">A. Nephi's Prophecy of the Corruption of Scripture</w:t>
      </w:r>
    </w:p>
    <w:p>
      <w:pPr>
        <w:spacing w:after="120" w:before="120" w:line="280"/>
        <w:ind w:left="720" w:right="720"/>
        <w:jc w:val="both"/>
      </w:pPr>
      <w:r>
        <w:rPr>
          <w:rFonts w:ascii="Garamond" w:cs="Garamond" w:eastAsia="Garamond" w:hAnsi="Garamond"/>
          <w:i/>
          <w:iCs/>
          <w:sz w:val="22"/>
          <w:szCs w:val="22"/>
        </w:rPr>
        <w:t xml:space="preserve">1 Nephi 13:24–29: “Thou seest that the book proceeded forth from the mouth of a Jew… and after it had gone forth… many plain and precious things were taken away from the book, which is the book of the Lamb of God… Because of these things which are taken away… an exceedingly great many do stumble.”</w:t>
      </w:r>
    </w:p>
    <w:p>
      <w:pPr>
        <w:spacing w:after="80" w:before="80" w:line="300"/>
        <w:jc w:val="both"/>
      </w:pPr>
      <w:r>
        <w:rPr>
          <w:rFonts w:ascii="Garamond" w:cs="Garamond" w:eastAsia="Garamond" w:hAnsi="Garamond"/>
          <w:sz w:val="24"/>
          <w:szCs w:val="24"/>
        </w:rPr>
        <w:t xml:space="preserve">Nephi's angelic guide shows him the Bible's transmission from the original apostolic church into Gentile hands. The taking away of “plain and precious things” refers not merely to textual edits but to the loss of clarity, covenants, and priesthood authority that accompanied the great apostasy.</w:t>
      </w:r>
    </w:p>
    <w:p>
      <w:pPr>
        <w:pStyle w:val="Heading2"/>
        <w:spacing w:after="140" w:before="280"/>
      </w:pPr>
      <w:r>
        <w:rPr>
          <w:rFonts w:ascii="Garamond" w:cs="Garamond" w:eastAsia="Garamond" w:hAnsi="Garamond"/>
          <w:b/>
          <w:bCs/>
          <w:sz w:val="28"/>
          <w:szCs w:val="28"/>
        </w:rPr>
        <w:t xml:space="preserve">B. What Was Lost</w:t>
      </w:r>
    </w:p>
    <w:p>
      <w:pPr>
        <w:spacing w:after="80" w:before="80" w:line="300"/>
        <w:jc w:val="both"/>
      </w:pPr>
      <w:r>
        <w:rPr>
          <w:rFonts w:ascii="Garamond" w:cs="Garamond" w:eastAsia="Garamond" w:hAnsi="Garamond"/>
          <w:sz w:val="24"/>
          <w:szCs w:val="24"/>
        </w:rPr>
        <w:t xml:space="preserve">Three layers of loss can be distinguished. First, the covenantal context: ordinances and priesthood authority were altered or forgotten, the link between ordinance and spiritual power (D&amp;C 84:19–21) faded, and the covenantal structure of the gospel — faith, repentance, baptism, Holy Ghost — was fragmented. Second, doctrinal clarity: early plain doctrines about the Godhead, agency, and premortal life were replaced or obscured by creeds and philosophical terms. Nephi foresaw this when he wrote, “They have taken away from the gospel of the Lamb many parts which are plain and most precious” (1 Nephi 13:26). Third, continuing revelation: the living pattern of prophets ceased; interpretation hardened into tradition. Thus “the book” remained but the voice was silenced.</w:t>
      </w:r>
    </w:p>
    <w:p>
      <w:pPr>
        <w:pStyle w:val="Heading2"/>
        <w:spacing w:after="140" w:before="280"/>
      </w:pPr>
      <w:r>
        <w:rPr>
          <w:rFonts w:ascii="Garamond" w:cs="Garamond" w:eastAsia="Garamond" w:hAnsi="Garamond"/>
          <w:b/>
          <w:bCs/>
          <w:sz w:val="28"/>
          <w:szCs w:val="28"/>
        </w:rPr>
        <w:t xml:space="preserve">C. Why It Happened</w:t>
      </w:r>
    </w:p>
    <w:p>
      <w:pPr>
        <w:spacing w:after="80" w:before="80" w:line="300"/>
        <w:jc w:val="both"/>
      </w:pPr>
      <w:r>
        <w:rPr>
          <w:rFonts w:ascii="Garamond" w:cs="Garamond" w:eastAsia="Garamond" w:hAnsi="Garamond"/>
          <w:sz w:val="24"/>
          <w:szCs w:val="24"/>
        </w:rPr>
        <w:t xml:space="preserve">Nephi explains that it occurred “by the great and abominable church” (1 Ne 13:28) — a symbol for any institution that substitutes human authority for divine revelation. It was not a single event of malice but a centuries-long process: scribal loss, translation bias, theological filtering, and the suppression of texts that did not fit developing orthodoxy. The result was what Daniel and Isaiah both foresaw — an “abomination” standing where holy things should be and a famine of hearing the words of the Lord (Amos 8:11).</w:t>
      </w:r>
    </w:p>
    <w:p>
      <w:pPr>
        <w:pStyle w:val="Heading2"/>
        <w:spacing w:after="140" w:before="280"/>
      </w:pPr>
      <w:r>
        <w:rPr>
          <w:rFonts w:ascii="Garamond" w:cs="Garamond" w:eastAsia="Garamond" w:hAnsi="Garamond"/>
          <w:b/>
          <w:bCs/>
          <w:sz w:val="28"/>
          <w:szCs w:val="28"/>
        </w:rPr>
        <w:t xml:space="preserve">D. The Book of Mormon's Role in Restoration</w:t>
      </w:r>
    </w:p>
    <w:p>
      <w:pPr>
        <w:spacing w:after="120" w:before="120" w:line="280"/>
        <w:ind w:left="720" w:right="720"/>
        <w:jc w:val="both"/>
      </w:pPr>
      <w:r>
        <w:rPr>
          <w:rFonts w:ascii="Garamond" w:cs="Garamond" w:eastAsia="Garamond" w:hAnsi="Garamond"/>
          <w:i/>
          <w:iCs/>
          <w:sz w:val="22"/>
          <w:szCs w:val="22"/>
        </w:rPr>
        <w:t xml:space="preserve">1 Nephi 13:39–40: “Other books shall come forth… to make known the plain and precious things which have been taken away.”</w:t>
      </w:r>
    </w:p>
    <w:p>
      <w:pPr>
        <w:spacing w:after="80" w:before="80" w:line="300"/>
        <w:jc w:val="both"/>
      </w:pPr>
      <w:r>
        <w:rPr>
          <w:rFonts w:ascii="Garamond" w:cs="Garamond" w:eastAsia="Garamond" w:hAnsi="Garamond"/>
          <w:sz w:val="24"/>
          <w:szCs w:val="24"/>
        </w:rPr>
        <w:t xml:space="preserve">When the Book of Mormon came forth in 1830, it did not replace the Bible but completed it, re-establishing the covenant sequence of the gospel (faith, repentance, baptism, Holy Ghost), the doctrine of Christ's Atonement in unmistakable clarity (2 Ne. 31–33), and the literal reality of revelation, priesthood, and ordinances. It restored the “plainness” that Nephi loved (2 Ne. 25:4) — teaching truth in language so simple that “the way is plain before your face” (2 Ne. 32:7).</w:t>
      </w:r>
    </w:p>
    <w:p>
      <w:pPr>
        <w:pStyle w:val="Heading2"/>
        <w:spacing w:after="140" w:before="280"/>
      </w:pPr>
      <w:r>
        <w:rPr>
          <w:rFonts w:ascii="Garamond" w:cs="Garamond" w:eastAsia="Garamond" w:hAnsi="Garamond"/>
          <w:b/>
          <w:bCs/>
          <w:sz w:val="28"/>
          <w:szCs w:val="28"/>
        </w:rPr>
        <w:t xml:space="preserve">E. Relation to the 1830 Prophetic Arc</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Prophetic Era</w:t>
            </w:r>
          </w:p>
        </w:tc>
        <w:tc>
          <w:tcPr>
            <w:tcW w:type="dxa" w:w="234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Symbol</w:t>
            </w:r>
          </w:p>
        </w:tc>
        <w:tc>
          <w:tcPr>
            <w:tcW w:type="dxa" w:w="234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Condition</w:t>
            </w:r>
          </w:p>
        </w:tc>
        <w:tc>
          <w:tcPr>
            <w:tcW w:type="dxa" w:w="234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Restoration Counterpoint</w:t>
            </w:r>
          </w:p>
        </w:tc>
      </w:tr>
      <w:tr>
        <w:tc>
          <w:tcPr>
            <w:tcW w:type="dxa" w:w="23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721 BC → 570 AD</w:t>
            </w:r>
          </w:p>
        </w:tc>
        <w:tc>
          <w:tcPr>
            <w:tcW w:type="dxa" w:w="23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“Daily sacrifice taken away”</w:t>
            </w:r>
          </w:p>
        </w:tc>
        <w:tc>
          <w:tcPr>
            <w:tcW w:type="dxa" w:w="23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Worship without revelation</w:t>
            </w:r>
          </w:p>
        </w:tc>
        <w:tc>
          <w:tcPr>
            <w:tcW w:type="dxa" w:w="23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Apostasy deepens</w:t>
            </w:r>
          </w:p>
        </w:tc>
      </w:tr>
      <w:tr>
        <w:tc>
          <w:tcPr>
            <w:tcW w:type="dxa" w:w="23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570 AD → 1830 AD</w:t>
            </w:r>
          </w:p>
        </w:tc>
        <w:tc>
          <w:tcPr>
            <w:tcW w:type="dxa" w:w="23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“Abomination set up”</w:t>
            </w:r>
          </w:p>
        </w:tc>
        <w:tc>
          <w:tcPr>
            <w:tcW w:type="dxa" w:w="23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Scriptures fragmented; truths obscured</w:t>
            </w:r>
          </w:p>
        </w:tc>
        <w:tc>
          <w:tcPr>
            <w:tcW w:type="dxa" w:w="23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“Plain and precious things” lost</w:t>
            </w:r>
          </w:p>
        </w:tc>
      </w:tr>
      <w:tr>
        <w:tc>
          <w:tcPr>
            <w:tcW w:type="dxa" w:w="23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1830 AD</w:t>
            </w:r>
          </w:p>
        </w:tc>
        <w:tc>
          <w:tcPr>
            <w:tcW w:type="dxa" w:w="23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Book of Mormon revealed</w:t>
            </w:r>
          </w:p>
        </w:tc>
        <w:tc>
          <w:tcPr>
            <w:tcW w:type="dxa" w:w="23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Word of God restored in purity</w:t>
            </w:r>
          </w:p>
        </w:tc>
        <w:tc>
          <w:tcPr>
            <w:tcW w:type="dxa" w:w="23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Plain truths recovered; fullness re-given</w:t>
            </w:r>
          </w:p>
        </w:tc>
      </w:tr>
    </w:tbl>
    <w:p>
      <w:pPr>
        <w:spacing w:after="80" w:before="80" w:line="300"/>
        <w:jc w:val="both"/>
      </w:pPr>
      <w:r>
        <w:rPr>
          <w:rFonts w:ascii="Garamond" w:cs="Garamond" w:eastAsia="Garamond" w:hAnsi="Garamond"/>
          <w:sz w:val="24"/>
          <w:szCs w:val="24"/>
        </w:rPr>
        <w:t xml:space="preserve">Thus 1830 marks the moment when the hidden nourishment of the wilderness (Revelation 12) became public again — the scriptures of the Restoration re-introducing the clarity, authority, and covenants once present in the earliest gospel.</w:t>
      </w:r>
    </w:p>
    <w:p>
      <w:pPr>
        <w:pStyle w:val="Heading2"/>
        <w:spacing w:after="140" w:before="280"/>
      </w:pPr>
      <w:r>
        <w:rPr>
          <w:rFonts w:ascii="Garamond" w:cs="Garamond" w:eastAsia="Garamond" w:hAnsi="Garamond"/>
          <w:b/>
          <w:bCs/>
          <w:sz w:val="28"/>
          <w:szCs w:val="28"/>
        </w:rPr>
        <w:t xml:space="preserve">F. Doctrinal Summary</w:t>
      </w:r>
    </w:p>
    <w:p>
      <w:pPr>
        <w:pStyle w:val="ListParagraph"/>
        <w:numPr>
          <w:ilvl w:val="0"/>
          <w:numId w:val="2"/>
        </w:numPr>
        <w:spacing w:after="60" w:before="60" w:line="280"/>
      </w:pPr>
      <w:r>
        <w:rPr>
          <w:rFonts w:ascii="Garamond" w:cs="Garamond" w:eastAsia="Garamond" w:hAnsi="Garamond"/>
          <w:sz w:val="24"/>
          <w:szCs w:val="24"/>
        </w:rPr>
        <w:t xml:space="preserve">Loss: Human alteration of the divine message produced partial light.</w:t>
      </w:r>
    </w:p>
    <w:p>
      <w:pPr>
        <w:pStyle w:val="ListParagraph"/>
        <w:numPr>
          <w:ilvl w:val="0"/>
          <w:numId w:val="2"/>
        </w:numPr>
        <w:spacing w:after="60" w:before="60" w:line="280"/>
      </w:pPr>
      <w:r>
        <w:rPr>
          <w:rFonts w:ascii="Garamond" w:cs="Garamond" w:eastAsia="Garamond" w:hAnsi="Garamond"/>
          <w:sz w:val="24"/>
          <w:szCs w:val="24"/>
        </w:rPr>
        <w:t xml:space="preserve">Preservation: God safeguarded truth in other records (Book of Mormon, Doctrine &amp; Covenants, Pearl of Great Price).</w:t>
      </w:r>
    </w:p>
    <w:p>
      <w:pPr>
        <w:pStyle w:val="ListParagraph"/>
        <w:numPr>
          <w:ilvl w:val="0"/>
          <w:numId w:val="2"/>
        </w:numPr>
        <w:spacing w:after="60" w:before="60" w:line="280"/>
      </w:pPr>
      <w:r>
        <w:rPr>
          <w:rFonts w:ascii="Garamond" w:cs="Garamond" w:eastAsia="Garamond" w:hAnsi="Garamond"/>
          <w:sz w:val="24"/>
          <w:szCs w:val="24"/>
        </w:rPr>
        <w:t xml:space="preserve">Restoration: Through Joseph Smith the Lord brought back “plain and precious” truth so “that all men might come unto Him and not be deceived” (1 Ne. 13:40).</w:t>
      </w:r>
    </w:p>
    <w:p>
      <w:pPr>
        <w:pStyle w:val="Heading1"/>
        <w:spacing w:after="180" w:before="360"/>
        <w:jc w:val="left"/>
      </w:pPr>
      <w:r>
        <w:rPr>
          <w:rFonts w:ascii="Garamond" w:cs="Garamond" w:eastAsia="Garamond" w:hAnsi="Garamond"/>
          <w:b/>
          <w:bCs/>
          <w:sz w:val="32"/>
          <w:szCs w:val="32"/>
        </w:rPr>
        <w:t xml:space="preserve">XVIII. America as the Cradle of the Restoration</w:t>
      </w:r>
    </w:p>
    <w:p>
      <w:pPr>
        <w:spacing w:after="80" w:before="80" w:line="300"/>
        <w:jc w:val="both"/>
      </w:pPr>
      <w:r>
        <w:rPr>
          <w:rFonts w:ascii="Garamond" w:cs="Garamond" w:eastAsia="Garamond" w:hAnsi="Garamond"/>
          <w:sz w:val="24"/>
          <w:szCs w:val="24"/>
        </w:rPr>
        <w:t xml:space="preserve">Beyond the preservation of the word, the prophets foresaw the preparation of a place. Before the Restoration could occur, the Lord would prepare a covenant land where His gospel could again take root in freedom.</w:t>
      </w:r>
    </w:p>
    <w:p>
      <w:pPr>
        <w:pStyle w:val="Heading2"/>
        <w:spacing w:after="140" w:before="280"/>
      </w:pPr>
      <w:r>
        <w:rPr>
          <w:rFonts w:ascii="Garamond" w:cs="Garamond" w:eastAsia="Garamond" w:hAnsi="Garamond"/>
          <w:b/>
          <w:bCs/>
          <w:sz w:val="28"/>
          <w:szCs w:val="28"/>
        </w:rPr>
        <w:t xml:space="preserve">A. Nephi's Vision of Gentile Preparation</w:t>
      </w:r>
    </w:p>
    <w:p>
      <w:pPr>
        <w:spacing w:after="120" w:before="120" w:line="280"/>
        <w:ind w:left="720" w:right="720"/>
        <w:jc w:val="both"/>
      </w:pPr>
      <w:r>
        <w:rPr>
          <w:rFonts w:ascii="Garamond" w:cs="Garamond" w:eastAsia="Garamond" w:hAnsi="Garamond"/>
          <w:i/>
          <w:iCs/>
          <w:sz w:val="22"/>
          <w:szCs w:val="22"/>
        </w:rPr>
        <w:t xml:space="preserve">1 Nephi 13:12: “I beheld the Spirit of God, that it came down and wrought upon a man… and he went forth upon the many waters, even unto the seed of my brethren, who were in the promised land.”</w:t>
      </w:r>
    </w:p>
    <w:p>
      <w:pPr>
        <w:spacing w:after="80" w:before="80" w:line="300"/>
        <w:jc w:val="both"/>
      </w:pPr>
      <w:r>
        <w:rPr>
          <w:rFonts w:ascii="Garamond" w:cs="Garamond" w:eastAsia="Garamond" w:hAnsi="Garamond"/>
          <w:sz w:val="24"/>
          <w:szCs w:val="24"/>
        </w:rPr>
        <w:t xml:space="preserve">The land would become “a land of liberty” (2 Ne. 10:11–13), a place “free from bondage” (1 Ne. 13:16–19), and a land preserved “for the righteous” (2 Ne. 1:5–7).</w:t>
      </w:r>
    </w:p>
    <w:p>
      <w:pPr>
        <w:pStyle w:val="Heading3"/>
        <w:spacing w:after="100" w:before="200"/>
      </w:pPr>
      <w:r>
        <w:rPr>
          <w:rFonts w:ascii="Garamond" w:cs="Garamond" w:eastAsia="Garamond" w:hAnsi="Garamond"/>
          <w:b/>
          <w:bCs/>
          <w:i/>
          <w:iCs/>
          <w:sz w:val="25"/>
          <w:szCs w:val="25"/>
        </w:rPr>
        <w:t xml:space="preserve">The Witness of Columbus’s Own Hand</w:t>
      </w:r>
    </w:p>
    <w:p>
      <w:pPr>
        <w:spacing w:after="80" w:before="80" w:line="300"/>
        <w:jc w:val="both"/>
      </w:pPr>
      <w:r>
        <w:rPr>
          <w:rFonts w:ascii="Garamond" w:cs="Garamond" w:eastAsia="Garamond" w:hAnsi="Garamond"/>
          <w:sz w:val="24"/>
          <w:szCs w:val="24"/>
        </w:rPr>
        <w:t xml:space="preserve">Latter-day Saint readers have long understood the “man among the Gentiles” of 1 Nephi 13:12 to be Christopher Columbus — separated by the Atlantic from the Lehite remnant and “wrought upon” by the Spirit of God before the voyage that would open the way for the Restoration to occur in a prepared land. The strength of the reading does not depend on the bare historical fact of 1492; that Columbus sailed in that year was already known to Joseph Smith’s contemporaries. The strength depends on the question of motive. Nephi’s verse claims something specific: that the voyager was moved by a divine influence before he sailed. That claim, hardly recoverable from the textbooks of Joseph Smith’s day, is now recoverable from the explorer’s own pen.</w:t>
      </w:r>
    </w:p>
    <w:p>
      <w:pPr>
        <w:spacing w:after="80" w:before="80" w:line="300"/>
        <w:jc w:val="both"/>
      </w:pPr>
      <w:r>
        <w:rPr>
          <w:rFonts w:ascii="Garamond" w:cs="Garamond" w:eastAsia="Garamond" w:hAnsi="Garamond"/>
          <w:sz w:val="24"/>
          <w:szCs w:val="24"/>
        </w:rPr>
        <w:t xml:space="preserve">Returning in chains from his third voyage and effectively dismissed by the Spanish crown, Columbus spent the years 1501–1505 compiling, with the help of his thirteen-year-old son Ferdinand and the Carthusian monk Gaspar Gorricio, a manuscript he himself called “a notebook of authorities, statements, opinions and prophecies on the subject of the recovery of God’s Holy City and mountain of Zion, and on the discovery and evangelization of the islands of the Indies and of all other peoples and nations.” Librarians later named the work </w:t>
      </w:r>
      <w:r>
        <w:rPr>
          <w:rFonts w:ascii="Garamond" w:cs="Garamond" w:eastAsia="Garamond" w:hAnsi="Garamond"/>
          <w:i/>
          <w:iCs/>
          <w:sz w:val="24"/>
          <w:szCs w:val="24"/>
        </w:rPr>
        <w:t xml:space="preserve">Libro de las profécías</w:t>
      </w:r>
      <w:r>
        <w:rPr>
          <w:rFonts w:ascii="Garamond" w:cs="Garamond" w:eastAsia="Garamond" w:hAnsi="Garamond"/>
          <w:sz w:val="24"/>
          <w:szCs w:val="24"/>
        </w:rPr>
        <w:t xml:space="preserve"> — the Book of Prophecies. The manuscript was largely ignored for four centuries, was first published in Italian in 1892–94, and was not translated into English until 1991 (Delno C. West and August Kling, eds., </w:t>
      </w:r>
      <w:r>
        <w:rPr>
          <w:rFonts w:ascii="Garamond" w:cs="Garamond" w:eastAsia="Garamond" w:hAnsi="Garamond"/>
          <w:i/>
          <w:iCs/>
          <w:sz w:val="24"/>
          <w:szCs w:val="24"/>
        </w:rPr>
        <w:t>The Libro de las profécías of Christopher Columbus</w:t>
      </w:r>
      <w:r>
        <w:rPr>
          <w:rFonts w:ascii="Garamond" w:cs="Garamond" w:eastAsia="Garamond" w:hAnsi="Garamond"/>
          <w:sz w:val="24"/>
          <w:szCs w:val="24"/>
        </w:rPr>
        <w:t xml:space="preserve">, University Press of Florida). The Columbus revealed by these pages is, by the admission of recent scholarship, quite different from the gold-driven adventurer of the textbooks: he understood his enterprise as the fulfillment of biblical prophecy, his motive as the spread of the Christian faith, and his mind as having been opened by the Holy Spirit.</w:t>
      </w:r>
    </w:p>
    <w:p>
      <w:pPr>
        <w:spacing w:after="80" w:before="80" w:line="300"/>
        <w:jc w:val="both"/>
      </w:pPr>
      <w:r>
        <w:rPr>
          <w:rFonts w:ascii="Garamond" w:cs="Garamond" w:eastAsia="Garamond" w:hAnsi="Garamond"/>
          <w:sz w:val="24"/>
          <w:szCs w:val="24"/>
        </w:rPr>
        <w:t xml:space="preserve">In the introductory letter to Ferdinand and Isabella that opens the manuscript, Columbus is explicit. Describing how the project came to him, he writes: “It was the Lord who put into my mind — I could feel His hand upon me — the fact that it would be possible to sail from here to the Indies.” Of the inspiration itself: “There is no question that the inspiration was from the Holy Spirit, because he comforted me with rays of marvelous illumination from the Holy Scriptures.” Of the project’s scriptural standing: “the execution of the journey to the Indies… was simply the fulfillment of what Isaiah had prophesied.” Among the prophecies he applied to himself were Isaiah 42:1–4 (“the islands shall wait for his law”) and Isaiah 55:5 (“a nation which thou knewest not… shall run unto thee”).</w:t>
      </w:r>
    </w:p>
    <w:p>
      <w:pPr>
        <w:spacing w:after="80" w:before="80" w:line="300"/>
        <w:jc w:val="both"/>
      </w:pPr>
      <w:r>
        <w:rPr>
          <w:rFonts w:ascii="Garamond" w:cs="Garamond" w:eastAsia="Garamond" w:hAnsi="Garamond"/>
          <w:sz w:val="24"/>
          <w:szCs w:val="24"/>
        </w:rPr>
        <w:t xml:space="preserve">The convergence with Nephi’s verse is striking. Nephi reports a man “wrought upon” by the Spirit of God, who then went forth upon the many waters; Columbus reports a man whose mind was opened, with a hand he could feel, to the conviction that he could sail to the Indies, and who then went forth across the Atlantic. As Daniel C. Peterson has observed, “It is only with the growth of Columbus scholarship in recent years, and particularly with the translation and publication of Columbus’s </w:t>
      </w:r>
      <w:r>
        <w:rPr>
          <w:rFonts w:ascii="Garamond" w:cs="Garamond" w:eastAsia="Garamond" w:hAnsi="Garamond"/>
          <w:i/>
          <w:iCs/>
          <w:sz w:val="24"/>
          <w:szCs w:val="24"/>
        </w:rPr>
        <w:t xml:space="preserve">Libro de las profécías</w:t>
      </w:r>
      <w:r>
        <w:rPr>
          <w:rFonts w:ascii="Garamond" w:cs="Garamond" w:eastAsia="Garamond" w:hAnsi="Garamond"/>
          <w:sz w:val="24"/>
          <w:szCs w:val="24"/>
        </w:rPr>
        <w:t xml:space="preserve"> in 1991, that English-speaking readers have been fully able to see how remarkably the admiral’s own self-understanding parallels the portrait of him given in the Book of Mormon” (Peterson, “Mounting Evidence for the Book of Mormon,” </w:t>
      </w:r>
      <w:r>
        <w:rPr>
          <w:rFonts w:ascii="Garamond" w:cs="Garamond" w:eastAsia="Garamond" w:hAnsi="Garamond"/>
          <w:i/>
          <w:iCs/>
          <w:sz w:val="24"/>
          <w:szCs w:val="24"/>
        </w:rPr>
        <w:t xml:space="preserve">Ensign</w:t>
      </w:r>
      <w:r>
        <w:rPr>
          <w:rFonts w:ascii="Garamond" w:cs="Garamond" w:eastAsia="Garamond" w:hAnsi="Garamond"/>
          <w:sz w:val="24"/>
          <w:szCs w:val="24"/>
        </w:rPr>
        <w:t xml:space="preserve">, Jan. 2000). The man whose voyage opened the cradle understood himself, in his own hand, in just the terms Nephi had used six centuries before Christ.</w:t>
      </w:r>
    </w:p>
    <w:p>
      <w:pPr>
        <w:spacing w:after="80" w:before="80" w:line="300"/>
        <w:jc w:val="both"/>
      </w:pPr>
      <w:r>
        <w:rPr>
          <w:rFonts w:ascii="Garamond" w:cs="Garamond" w:eastAsia="Garamond" w:hAnsi="Garamond"/>
          <w:sz w:val="24"/>
          <w:szCs w:val="24"/>
        </w:rPr>
        <w:t xml:space="preserve">Two qualifications are necessary, lest the convergence be overstated. First, Columbus’s apocalyptic theology was not Latter-day Saint theology. It was a late-medieval crusading vision — drawn in part from the writings of Joachim of Fiore — in which the recovery of Jerusalem and the conversion of all nations preceded the end of the world; he hoped Ferdinand and Isabella would be the “last world emperor” who would lead a final crusade. The Restoration affirms his sense of providential calling without endorsing the framework into which he placed it. Second, the gospel motive in his journals does not justify the abuses that followed his voyages and the European conquest of the Americas, which the Book of Mormon also foresaw and condemned (1 Ne. 13:14; cf. 3 Ne. 16:8–9). What the </w:t>
      </w:r>
      <w:r>
        <w:rPr>
          <w:rFonts w:ascii="Garamond" w:cs="Garamond" w:eastAsia="Garamond" w:hAnsi="Garamond"/>
          <w:i/>
          <w:iCs/>
          <w:sz w:val="24"/>
          <w:szCs w:val="24"/>
        </w:rPr>
        <w:t xml:space="preserve">Libro de las profécías</w:t>
      </w:r>
      <w:r>
        <w:rPr>
          <w:rFonts w:ascii="Garamond" w:cs="Garamond" w:eastAsia="Garamond" w:hAnsi="Garamond"/>
          <w:sz w:val="24"/>
          <w:szCs w:val="24"/>
        </w:rPr>
        <w:t xml:space="preserve"> establishes is something narrower and more exact: that the man Nephi described as “wrought upon” by the Spirit understood himself, in his own writing, in those very terms. The claim of this section — that the cradle of liberty was being prepared from 1492 onward — rests, on this point, on the explorer’s own testimony as well as on retrospective interpretation.</w:t>
      </w:r>
    </w:p>
    <w:p>
      <w:pPr>
        <w:pStyle w:val="Heading2"/>
        <w:spacing w:after="140" w:before="280"/>
      </w:pPr>
      <w:r>
        <w:rPr>
          <w:rFonts w:ascii="Garamond" w:cs="Garamond" w:eastAsia="Garamond" w:hAnsi="Garamond"/>
          <w:b/>
          <w:bCs/>
          <w:sz w:val="28"/>
          <w:szCs w:val="28"/>
        </w:rPr>
        <w:t xml:space="preserve">B. The American Heritage Reading</w:t>
      </w:r>
    </w:p>
    <w:p>
      <w:pPr>
        <w:spacing w:after="80" w:before="80" w:line="300"/>
        <w:jc w:val="both"/>
      </w:pPr>
      <w:r>
        <w:rPr>
          <w:rFonts w:ascii="Garamond" w:cs="Garamond" w:eastAsia="Garamond" w:hAnsi="Garamond"/>
          <w:sz w:val="24"/>
          <w:szCs w:val="24"/>
        </w:rPr>
        <w:t xml:space="preserve">BYU's American Heritage curriculum and related Religious Education materials synthesize history, political science, and Latter-day Saint theology to argue three points. First, agency requires liberty: the Restoration could occur only where freedom of conscience, press, and worship were protected. Second, providence prepared a nation: the Reformation, Enlightenment, and founding of the United States collectively formed what Elder Orson F. Whitney called “a cradle for the Restoration.” The Declaration of Independence and the U.S. Constitution became inspired frameworks enabling Joseph Smith's ministry. Third, covenant geography: just as ancient Israel had a promised land, modern Israel's restoration required a land preserved for His latter-day work (cf. Ether 2:9–12).</w:t>
      </w:r>
    </w:p>
    <w:p>
      <w:pPr>
        <w:spacing w:after="120" w:before="120" w:line="280"/>
        <w:ind w:left="720" w:right="720"/>
        <w:jc w:val="both"/>
      </w:pPr>
      <w:r>
        <w:rPr>
          <w:rFonts w:ascii="Garamond" w:cs="Garamond" w:eastAsia="Garamond" w:hAnsi="Garamond"/>
          <w:i/>
          <w:iCs/>
          <w:sz w:val="22"/>
          <w:szCs w:val="22"/>
        </w:rPr>
        <w:t xml:space="preserve">Doctrine and Covenants 101:80: “I established the Constitution of this land, by the hands of wise men whom I raised up for this very purpose.”</w:t>
      </w:r>
    </w:p>
    <w:p>
      <w:pPr>
        <w:pStyle w:val="Heading2"/>
        <w:spacing w:after="140" w:before="280"/>
      </w:pPr>
      <w:r>
        <w:rPr>
          <w:rFonts w:ascii="Garamond" w:cs="Garamond" w:eastAsia="Garamond" w:hAnsi="Garamond"/>
          <w:b/>
          <w:bCs/>
          <w:sz w:val="28"/>
          <w:szCs w:val="28"/>
        </w:rPr>
        <w:t xml:space="preserve">C. Conditional Covenant</w:t>
      </w:r>
    </w:p>
    <w:p>
      <w:pPr>
        <w:spacing w:after="80" w:before="80" w:line="300"/>
        <w:jc w:val="both"/>
      </w:pPr>
      <w:r>
        <w:rPr>
          <w:rFonts w:ascii="Garamond" w:cs="Garamond" w:eastAsia="Garamond" w:hAnsi="Garamond"/>
          <w:sz w:val="24"/>
          <w:szCs w:val="24"/>
        </w:rPr>
        <w:t xml:space="preserve">The covenant attached to the land is conditional, not unconditional:</w:t>
      </w:r>
    </w:p>
    <w:p>
      <w:pPr>
        <w:spacing w:after="120" w:before="120" w:line="280"/>
        <w:ind w:left="720" w:right="720"/>
        <w:jc w:val="both"/>
      </w:pPr>
      <w:r>
        <w:rPr>
          <w:rFonts w:ascii="Garamond" w:cs="Garamond" w:eastAsia="Garamond" w:hAnsi="Garamond"/>
          <w:i/>
          <w:iCs/>
          <w:sz w:val="22"/>
          <w:szCs w:val="22"/>
        </w:rPr>
        <w:t xml:space="preserve">2 Nephi 1:20: “Inasmuch as they shall keep my commandments they shall prosper… and if they will not, they shall be cut off from the presence of the Lord.”</w:t>
      </w:r>
    </w:p>
    <w:p>
      <w:pPr>
        <w:spacing w:after="80" w:before="80" w:line="300"/>
        <w:jc w:val="both"/>
      </w:pPr>
      <w:r>
        <w:rPr>
          <w:rFonts w:ascii="Garamond" w:cs="Garamond" w:eastAsia="Garamond" w:hAnsi="Garamond"/>
          <w:sz w:val="24"/>
          <w:szCs w:val="24"/>
        </w:rPr>
        <w:t xml:space="preserve">The United States is therefore a sacred platform on which the Kingdom could be restored — not the Kingdom itself.</w:t>
      </w:r>
    </w:p>
    <w:p>
      <w:pPr>
        <w:pStyle w:val="Heading2"/>
        <w:spacing w:after="140" w:before="280"/>
      </w:pPr>
      <w:r>
        <w:rPr>
          <w:rFonts w:ascii="Garamond" w:cs="Garamond" w:eastAsia="Garamond" w:hAnsi="Garamond"/>
          <w:b/>
          <w:bCs/>
          <w:sz w:val="28"/>
          <w:szCs w:val="28"/>
        </w:rPr>
        <w:t xml:space="preserve">D. The Chronological Bridge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3510"/>
        <w:gridCol w:w="3510"/>
      </w:tblGrid>
      <w:tr>
        <w:trPr>
          <w:tblHeader/>
        </w:trPr>
        <w:tc>
          <w:tcPr>
            <w:tcW w:type="dxa" w:w="234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Stage</w:t>
            </w:r>
          </w:p>
        </w:tc>
        <w:tc>
          <w:tcPr>
            <w:tcW w:type="dxa" w:w="351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Symbol / Event</w:t>
            </w:r>
          </w:p>
        </w:tc>
        <w:tc>
          <w:tcPr>
            <w:tcW w:type="dxa" w:w="351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Meaning</w:t>
            </w:r>
          </w:p>
        </w:tc>
      </w:tr>
      <w:tr>
        <w:tc>
          <w:tcPr>
            <w:tcW w:type="dxa" w:w="23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721 B.C.</w:t>
            </w:r>
          </w:p>
        </w:tc>
        <w:tc>
          <w:tcPr>
            <w:tcW w:type="dxa" w:w="351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Scattering of Israel</w:t>
            </w:r>
          </w:p>
        </w:tc>
        <w:tc>
          <w:tcPr>
            <w:tcW w:type="dxa" w:w="351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Loss of covenant and true worship</w:t>
            </w:r>
          </w:p>
        </w:tc>
      </w:tr>
      <w:tr>
        <w:tc>
          <w:tcPr>
            <w:tcW w:type="dxa" w:w="23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570 A.D.</w:t>
            </w:r>
          </w:p>
        </w:tc>
        <w:tc>
          <w:tcPr>
            <w:tcW w:type="dxa" w:w="351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Rise of creedal faiths and political churches</w:t>
            </w:r>
          </w:p>
        </w:tc>
        <w:tc>
          <w:tcPr>
            <w:tcW w:type="dxa" w:w="351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Apostasy fully established</w:t>
            </w:r>
          </w:p>
        </w:tc>
      </w:tr>
      <w:tr>
        <w:tc>
          <w:tcPr>
            <w:tcW w:type="dxa" w:w="23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1492–1776 A.D.</w:t>
            </w:r>
          </w:p>
        </w:tc>
        <w:tc>
          <w:tcPr>
            <w:tcW w:type="dxa" w:w="351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“Spirit wrought upon the Gentiles” (1 Ne. 13)</w:t>
            </w:r>
          </w:p>
        </w:tc>
        <w:tc>
          <w:tcPr>
            <w:tcW w:type="dxa" w:w="351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Preparation of the land of liberty</w:t>
            </w:r>
          </w:p>
        </w:tc>
      </w:tr>
      <w:tr>
        <w:tc>
          <w:tcPr>
            <w:tcW w:type="dxa" w:w="23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1830 A.D.</w:t>
            </w:r>
          </w:p>
        </w:tc>
        <w:tc>
          <w:tcPr>
            <w:tcW w:type="dxa" w:w="351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Organization of the Church of Christ</w:t>
            </w:r>
          </w:p>
        </w:tc>
        <w:tc>
          <w:tcPr>
            <w:tcW w:type="dxa" w:w="351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Restoration of priesthood and ordinances in the chosen land</w:t>
            </w:r>
          </w:p>
        </w:tc>
      </w:tr>
    </w:tbl>
    <w:p>
      <w:pPr>
        <w:spacing w:after="80" w:before="80" w:line="300"/>
        <w:jc w:val="both"/>
      </w:pPr>
      <w:r>
        <w:rPr>
          <w:rFonts w:ascii="Garamond" w:cs="Garamond" w:eastAsia="Garamond" w:hAnsi="Garamond"/>
          <w:sz w:val="24"/>
          <w:szCs w:val="24"/>
        </w:rPr>
        <w:t xml:space="preserve">The United States thus becomes the geopolitical hinge between apostasy and restoration — the land foreseen by Nephi where the Lord could again speak through prophets without the chains of kings or state churches.</w:t>
      </w:r>
    </w:p>
    <w:p>
      <w:r>
        <w:br w:type="page"/>
      </w:r>
    </w:p>
    <w:p>
      <w:pPr>
        <w:pStyle w:val="Heading1"/>
        <w:spacing w:after="240" w:before="480"/>
        <w:jc w:val="center"/>
      </w:pPr>
      <w:r>
        <w:rPr>
          <w:rFonts w:ascii="Garamond" w:cs="Garamond" w:eastAsia="Garamond" w:hAnsi="Garamond"/>
          <w:b/>
          <w:bCs/>
          <w:smallCaps/>
          <w:sz w:val="34"/>
          <w:szCs w:val="34"/>
        </w:rPr>
        <w:t xml:space="preserve">Part VI — The 1830 Restoration</w:t>
      </w:r>
    </w:p>
    <w:p>
      <w:pPr>
        <w:pStyle w:val="Heading1"/>
        <w:spacing w:after="180" w:before="360"/>
        <w:jc w:val="left"/>
      </w:pPr>
      <w:r>
        <w:rPr>
          <w:rFonts w:ascii="Garamond" w:cs="Garamond" w:eastAsia="Garamond" w:hAnsi="Garamond"/>
          <w:b/>
          <w:bCs/>
          <w:sz w:val="32"/>
          <w:szCs w:val="32"/>
        </w:rPr>
        <w:t xml:space="preserve">XIX. “The Coming Forth of My Church Out of the Wilderness” — Joseph Smith's Earliest Confirmation</w:t>
      </w:r>
    </w:p>
    <w:p>
      <w:pPr>
        <w:spacing w:after="80" w:before="80" w:line="300"/>
        <w:jc w:val="both"/>
      </w:pPr>
      <w:r>
        <w:rPr>
          <w:rFonts w:ascii="Garamond" w:cs="Garamond" w:eastAsia="Garamond" w:hAnsi="Garamond"/>
          <w:sz w:val="24"/>
          <w:szCs w:val="24"/>
        </w:rPr>
        <w:t xml:space="preserve">Before any treatment of priesthood keys, ordinances, or organization, the wilderness framing of this paper deserves to be tested against the textual record left by the Restoration itself. If the woman of Revelation 12 emerges from the wilderness in 1830, one would expect the early Restoration revelations to speak in such terms. They do — and they do so before the Church is even organized.</w:t>
      </w:r>
    </w:p>
    <w:p>
      <w:pPr>
        <w:pStyle w:val="Heading2"/>
        <w:spacing w:after="140" w:before="280"/>
      </w:pPr>
      <w:r>
        <w:rPr>
          <w:rFonts w:ascii="Garamond" w:cs="Garamond" w:eastAsia="Garamond" w:hAnsi="Garamond"/>
          <w:b/>
          <w:bCs/>
          <w:sz w:val="28"/>
          <w:szCs w:val="28"/>
        </w:rPr>
        <w:t xml:space="preserve">A. The Revelation of March 1829</w:t>
      </w:r>
    </w:p>
    <w:p>
      <w:pPr>
        <w:spacing w:after="80" w:before="80" w:line="300"/>
        <w:jc w:val="both"/>
      </w:pPr>
      <w:r>
        <w:rPr>
          <w:rFonts w:ascii="Garamond" w:cs="Garamond" w:eastAsia="Garamond" w:hAnsi="Garamond"/>
          <w:sz w:val="24"/>
          <w:szCs w:val="24"/>
        </w:rPr>
        <w:t xml:space="preserve">In a revelation given in March 1829, more than a year before the formal organization of the Church and concerning the calling of the Three Witnesses, the Lord told Joseph Smith:</w:t>
      </w:r>
    </w:p>
    <w:p>
      <w:pPr>
        <w:spacing w:after="120" w:before="120" w:line="280"/>
        <w:ind w:left="720" w:right="720"/>
        <w:jc w:val="both"/>
      </w:pPr>
      <w:r>
        <w:rPr>
          <w:rFonts w:ascii="Garamond" w:cs="Garamond" w:eastAsia="Garamond" w:hAnsi="Garamond"/>
          <w:i/>
          <w:iCs/>
          <w:sz w:val="22"/>
          <w:szCs w:val="22"/>
        </w:rPr>
        <w:t xml:space="preserve">“And to none else will I grant this power, to receive this same testimony among this generation, in this the beginning of the rising up and the coming forth of my church out of the wilderness — clear as the moon, and fair as the sun, and terrible as an army with banners.” — Doctrine and Covenants 5:14.</w:t>
      </w:r>
    </w:p>
    <w:p>
      <w:pPr>
        <w:spacing w:after="80" w:before="80" w:line="300"/>
        <w:jc w:val="both"/>
      </w:pPr>
      <w:r>
        <w:rPr>
          <w:rFonts w:ascii="Garamond" w:cs="Garamond" w:eastAsia="Garamond" w:hAnsi="Garamond"/>
          <w:sz w:val="24"/>
          <w:szCs w:val="24"/>
        </w:rPr>
        <w:t xml:space="preserve">The phrase “the rising up and the coming forth of my church out of the wilderness” is the Lord's own description of the moment Joseph Smith was then living through. The historicist date-chains of Part III converge on 1830 from outside the Restoration; this verse describes the same event from inside it, in March 1829, in language that is unmistakably the language of Revelation 12.</w:t>
      </w:r>
    </w:p>
    <w:p>
      <w:pPr>
        <w:pStyle w:val="Heading2"/>
        <w:spacing w:after="140" w:before="280"/>
      </w:pPr>
      <w:r>
        <w:rPr>
          <w:rFonts w:ascii="Garamond" w:cs="Garamond" w:eastAsia="Garamond" w:hAnsi="Garamond"/>
          <w:b/>
          <w:bCs/>
          <w:sz w:val="28"/>
          <w:szCs w:val="28"/>
        </w:rPr>
        <w:t xml:space="preserve">B. Why This Verse Matters for the Argument of This Paper</w:t>
      </w:r>
    </w:p>
    <w:p>
      <w:pPr>
        <w:spacing w:after="80" w:before="80" w:line="300"/>
        <w:jc w:val="both"/>
      </w:pPr>
      <w:r>
        <w:rPr>
          <w:rFonts w:ascii="Garamond" w:cs="Garamond" w:eastAsia="Garamond" w:hAnsi="Garamond"/>
          <w:sz w:val="24"/>
          <w:szCs w:val="24"/>
        </w:rPr>
        <w:t xml:space="preserve">Three observations follow.</w:t>
      </w:r>
    </w:p>
    <w:p>
      <w:pPr>
        <w:spacing w:after="80" w:before="80" w:line="300"/>
        <w:jc w:val="both"/>
      </w:pPr>
      <w:r>
        <w:rPr>
          <w:rFonts w:ascii="Garamond" w:cs="Garamond" w:eastAsia="Garamond" w:hAnsi="Garamond"/>
          <w:sz w:val="24"/>
          <w:szCs w:val="24"/>
        </w:rPr>
        <w:t xml:space="preserve">First, the wilderness motif is not an interpretive overlay imposed on the Restoration in retrospect. It is canonical from the earliest moment. The Lord Himself frames the events of 1829–1830 as the church coming out of the wilderness — the very phrasing of John's vision.</w:t>
      </w:r>
    </w:p>
    <w:p>
      <w:pPr>
        <w:spacing w:after="80" w:before="80" w:line="300"/>
        <w:jc w:val="both"/>
      </w:pPr>
      <w:r>
        <w:rPr>
          <w:rFonts w:ascii="Garamond" w:cs="Garamond" w:eastAsia="Garamond" w:hAnsi="Garamond"/>
          <w:sz w:val="24"/>
          <w:szCs w:val="24"/>
        </w:rPr>
        <w:t xml:space="preserve">Second, the same verse fuses the wilderness imagery with bridal imagery. “Clear as the moon, and fair as the sun, and terrible as an army with banners” is a direct quotation of Song of Solomon 6:10, the description of the bride. In a single sentence, the woman in the wilderness (Rev. 12) and the bride of the Song are identified. This is exactly the convergence traced in Section V (Hosea's wilderness of betrothal) and Section XXIII (the Restored Marriage Covenant). The fusion is not the interpreter's; it is the Lord's.</w:t>
      </w:r>
    </w:p>
    <w:p>
      <w:pPr>
        <w:spacing w:after="80" w:before="80" w:line="300"/>
        <w:jc w:val="both"/>
      </w:pPr>
      <w:r>
        <w:rPr>
          <w:rFonts w:ascii="Garamond" w:cs="Garamond" w:eastAsia="Garamond" w:hAnsi="Garamond"/>
          <w:sz w:val="24"/>
          <w:szCs w:val="24"/>
        </w:rPr>
        <w:t xml:space="preserve">Third, the verse confirms the chronology. March 1829 — well before the Aaronic Priesthood was restored in May, before the Book of Mormon was complete, before the Church was organized in April 1830 — is already framed as “the beginning” of the emergence. What follows in 1829–1836 (priesthood, ordinance, organization, temple) is the unfolding of an emergence whose name had already been given.</w:t>
      </w:r>
    </w:p>
    <w:p>
      <w:pPr>
        <w:pStyle w:val="Heading2"/>
        <w:spacing w:after="140" w:before="280"/>
      </w:pPr>
      <w:r>
        <w:rPr>
          <w:rFonts w:ascii="Garamond" w:cs="Garamond" w:eastAsia="Garamond" w:hAnsi="Garamond"/>
          <w:b/>
          <w:bCs/>
          <w:sz w:val="28"/>
          <w:szCs w:val="28"/>
        </w:rPr>
        <w:t xml:space="preserve">C. Earliest Revelations Already Frame the Pattern</w:t>
      </w:r>
    </w:p>
    <w:p>
      <w:pPr>
        <w:spacing w:after="80" w:before="80" w:line="300"/>
        <w:jc w:val="both"/>
      </w:pPr>
      <w:r>
        <w:rPr>
          <w:rFonts w:ascii="Garamond" w:cs="Garamond" w:eastAsia="Garamond" w:hAnsi="Garamond"/>
          <w:sz w:val="24"/>
          <w:szCs w:val="24"/>
        </w:rPr>
        <w:t xml:space="preserve">D&amp;C 5:14 does not stand alone. The same prophetic register pervades the revelations of 1829. Repeatedly across sections 4, 6, 11, 12, and 14, the Lord declares that “a great and marvelous work is about to come forth unto the children of men” (D&amp;C 6:1; 11:1; 12:1; 14:1) and that “the field is white already to harvest,” urging the believer to “thrust in his sickle with his might, and reap while the day lasts” (e.g., D&amp;C 4:4; 6:3; 11:3; 12:3; 14:3). The harvest motif of Revelation 14, the marvelous-work motif of Isaiah 29, and the wilderness motif of Revelation 12 are present in the revelatory record before any administrative structure exists. The pattern came first; the institution followed.</w:t>
      </w:r>
    </w:p>
    <w:p>
      <w:pPr>
        <w:pStyle w:val="Heading2"/>
        <w:spacing w:after="140" w:before="280"/>
      </w:pPr>
      <w:r>
        <w:rPr>
          <w:rFonts w:ascii="Garamond" w:cs="Garamond" w:eastAsia="Garamond" w:hAnsi="Garamond"/>
          <w:b/>
          <w:bCs/>
          <w:sz w:val="28"/>
          <w:szCs w:val="28"/>
        </w:rPr>
        <w:t xml:space="preserve">D. The Naming of the Saints — Wilderness Emergence as a Process</w:t>
      </w:r>
    </w:p>
    <w:p>
      <w:pPr>
        <w:spacing w:after="80" w:before="80" w:line="300"/>
        <w:jc w:val="both"/>
      </w:pPr>
      <w:r>
        <w:rPr>
          <w:rFonts w:ascii="Garamond" w:cs="Garamond" w:eastAsia="Garamond" w:hAnsi="Garamond"/>
          <w:sz w:val="24"/>
          <w:szCs w:val="24"/>
        </w:rPr>
        <w:t xml:space="preserve">Even the gradual settling of the Church's name reflects an emergence rather than a single instant. The term “Saints,” reflecting what the early Christians called themselves, came into use only gradually. The first revelation to use “Saints” in this sense was given on July 20, 1831 (D&amp;C 57:7–10). On May 3, 1834, a Kirtland conference resolved that the Church would thereafter be known as The Church of the Latter Day Saints. Finally, on April 26, 1838, a revelation given at Far West, Missouri, designated the full and final name: The Church of Jesus Christ of Latter-day Saints (D&amp;C 115:4) (Harper, 2012).</w:t>
      </w:r>
    </w:p>
    <w:p>
      <w:pPr>
        <w:spacing w:after="80" w:before="80" w:line="300"/>
        <w:jc w:val="both"/>
      </w:pPr>
      <w:r>
        <w:rPr>
          <w:rFonts w:ascii="Garamond" w:cs="Garamond" w:eastAsia="Garamond" w:hAnsi="Garamond"/>
          <w:sz w:val="24"/>
          <w:szCs w:val="24"/>
        </w:rPr>
        <w:t xml:space="preserve">The progression — The Church of Christ (1830), The Church of the Latter Day Saints (1834), The Church of Jesus Christ of Latter-day Saints (1838) — is itself a small wilderness emergence: the name is gathered up in stages, just as the keys, the ordinances, and the doctrines are. “The rising up and the coming forth” of D&amp;C 5:14 is not a single dawn but a sustained sunrise.</w:t>
      </w:r>
    </w:p>
    <w:p>
      <w:pPr>
        <w:pStyle w:val="Heading1"/>
        <w:spacing w:after="180" w:before="360"/>
        <w:jc w:val="left"/>
      </w:pPr>
      <w:r>
        <w:rPr>
          <w:rFonts w:ascii="Garamond" w:cs="Garamond" w:eastAsia="Garamond" w:hAnsi="Garamond"/>
          <w:b/>
          <w:bCs/>
          <w:sz w:val="32"/>
          <w:szCs w:val="32"/>
        </w:rPr>
        <w:t xml:space="preserve">XX. The Restoration of Priesthood Keys (1829–1836)</w:t>
      </w:r>
    </w:p>
    <w:p>
      <w:pPr>
        <w:spacing w:after="80" w:before="80" w:line="300"/>
        <w:jc w:val="both"/>
      </w:pPr>
      <w:r>
        <w:rPr>
          <w:rFonts w:ascii="Garamond" w:cs="Garamond" w:eastAsia="Garamond" w:hAnsi="Garamond"/>
          <w:sz w:val="24"/>
          <w:szCs w:val="24"/>
        </w:rPr>
        <w:t xml:space="preserve">The Restoration was not a single event but a sequence of restorations — each returning a specific key.</w:t>
      </w:r>
    </w:p>
    <w:p>
      <w:pPr>
        <w:pStyle w:val="Heading2"/>
        <w:spacing w:after="140" w:before="280"/>
      </w:pPr>
      <w:r>
        <w:rPr>
          <w:rFonts w:ascii="Garamond" w:cs="Garamond" w:eastAsia="Garamond" w:hAnsi="Garamond"/>
          <w:b/>
          <w:bCs/>
          <w:sz w:val="28"/>
          <w:szCs w:val="28"/>
        </w:rPr>
        <w:t xml:space="preserve">A. The Aaronic Priesthood — May 15, 1829</w:t>
      </w:r>
    </w:p>
    <w:p>
      <w:pPr>
        <w:spacing w:after="80" w:before="80" w:line="300"/>
        <w:jc w:val="both"/>
      </w:pPr>
      <w:r>
        <w:rPr>
          <w:rFonts w:ascii="Garamond" w:cs="Garamond" w:eastAsia="Garamond" w:hAnsi="Garamond"/>
          <w:sz w:val="24"/>
          <w:szCs w:val="24"/>
        </w:rPr>
        <w:t xml:space="preserve">John the Baptist ordained Joseph Smith and Oliver Cowdery: “Upon you my fellow servants, in the name of Messiah, I confer the Priesthood of Aaron… which holds the keys of the ministering of angels, and of the gospel of repentance, and of baptism by immersion” (D&amp;C 13). This restored the key of entry — cleansing and repentance.</w:t>
      </w:r>
    </w:p>
    <w:p>
      <w:pPr>
        <w:pStyle w:val="Heading2"/>
        <w:spacing w:after="140" w:before="280"/>
      </w:pPr>
      <w:r>
        <w:rPr>
          <w:rFonts w:ascii="Garamond" w:cs="Garamond" w:eastAsia="Garamond" w:hAnsi="Garamond"/>
          <w:b/>
          <w:bCs/>
          <w:sz w:val="28"/>
          <w:szCs w:val="28"/>
        </w:rPr>
        <w:t xml:space="preserve">B. The Melchizedek Priesthood — 1829</w:t>
      </w:r>
    </w:p>
    <w:p>
      <w:pPr>
        <w:spacing w:after="80" w:before="80" w:line="300"/>
        <w:jc w:val="both"/>
      </w:pPr>
      <w:r>
        <w:rPr>
          <w:rFonts w:ascii="Garamond" w:cs="Garamond" w:eastAsia="Garamond" w:hAnsi="Garamond"/>
          <w:sz w:val="24"/>
          <w:szCs w:val="24"/>
        </w:rPr>
        <w:t xml:space="preserve">Peter, James, and John conferred the higher priesthood with the keys of the kingdom (D&amp;C 27:12–13). This restored the key of governance — confirmation, bestowal of the Holy Ghost, and administration of the higher temple blessings.</w:t>
      </w:r>
    </w:p>
    <w:p>
      <w:pPr>
        <w:pStyle w:val="Heading2"/>
        <w:spacing w:after="140" w:before="280"/>
      </w:pPr>
      <w:r>
        <w:rPr>
          <w:rFonts w:ascii="Garamond" w:cs="Garamond" w:eastAsia="Garamond" w:hAnsi="Garamond"/>
          <w:b/>
          <w:bCs/>
          <w:sz w:val="28"/>
          <w:szCs w:val="28"/>
        </w:rPr>
        <w:t xml:space="preserve">C. The Organization of the Church — April 6, 1830</w:t>
      </w:r>
    </w:p>
    <w:p>
      <w:pPr>
        <w:spacing w:after="80" w:before="80" w:line="300"/>
        <w:jc w:val="both"/>
      </w:pPr>
      <w:r>
        <w:rPr>
          <w:rFonts w:ascii="Garamond" w:cs="Garamond" w:eastAsia="Garamond" w:hAnsi="Garamond"/>
          <w:sz w:val="24"/>
          <w:szCs w:val="24"/>
        </w:rPr>
        <w:t xml:space="preserve">The Church was formally organized in Fayette, New York, as “the Church of Christ” — the name used in the earliest revelations (D&amp;C 20:1).</w:t>
      </w:r>
    </w:p>
    <w:p>
      <w:pPr>
        <w:pStyle w:val="Heading2"/>
        <w:spacing w:after="140" w:before="280"/>
      </w:pPr>
      <w:r>
        <w:rPr>
          <w:rFonts w:ascii="Garamond" w:cs="Garamond" w:eastAsia="Garamond" w:hAnsi="Garamond"/>
          <w:b/>
          <w:bCs/>
          <w:sz w:val="28"/>
          <w:szCs w:val="28"/>
        </w:rPr>
        <w:t xml:space="preserve">D. The Temple Keys — April 3, 1836</w:t>
      </w:r>
    </w:p>
    <w:p>
      <w:pPr>
        <w:spacing w:after="80" w:before="80" w:line="300"/>
        <w:jc w:val="both"/>
      </w:pPr>
      <w:r>
        <w:rPr>
          <w:rFonts w:ascii="Garamond" w:cs="Garamond" w:eastAsia="Garamond" w:hAnsi="Garamond"/>
          <w:sz w:val="24"/>
          <w:szCs w:val="24"/>
        </w:rPr>
        <w:t xml:space="preserve">In the Kirtland Temple, three messengers returned dispensational keys (D&amp;C 110):</w:t>
      </w:r>
    </w:p>
    <w:p>
      <w:pPr>
        <w:pStyle w:val="ListParagraph"/>
        <w:numPr>
          <w:ilvl w:val="0"/>
          <w:numId w:val="2"/>
        </w:numPr>
        <w:spacing w:after="60" w:before="60" w:line="280"/>
      </w:pPr>
      <w:r>
        <w:rPr>
          <w:rFonts w:ascii="Garamond" w:cs="Garamond" w:eastAsia="Garamond" w:hAnsi="Garamond"/>
          <w:sz w:val="24"/>
          <w:szCs w:val="24"/>
        </w:rPr>
        <w:t xml:space="preserve">Moses — gathering of Israel.</w:t>
      </w:r>
    </w:p>
    <w:p>
      <w:pPr>
        <w:pStyle w:val="ListParagraph"/>
        <w:numPr>
          <w:ilvl w:val="0"/>
          <w:numId w:val="2"/>
        </w:numPr>
        <w:spacing w:after="60" w:before="60" w:line="280"/>
      </w:pPr>
      <w:r>
        <w:rPr>
          <w:rFonts w:ascii="Garamond" w:cs="Garamond" w:eastAsia="Garamond" w:hAnsi="Garamond"/>
          <w:sz w:val="24"/>
          <w:szCs w:val="24"/>
        </w:rPr>
        <w:t xml:space="preserve">Elias — Abrahamic covenant and eternal marriage blessings.</w:t>
      </w:r>
    </w:p>
    <w:p>
      <w:pPr>
        <w:pStyle w:val="ListParagraph"/>
        <w:numPr>
          <w:ilvl w:val="0"/>
          <w:numId w:val="2"/>
        </w:numPr>
        <w:spacing w:after="60" w:before="60" w:line="280"/>
      </w:pPr>
      <w:r>
        <w:rPr>
          <w:rFonts w:ascii="Garamond" w:cs="Garamond" w:eastAsia="Garamond" w:hAnsi="Garamond"/>
          <w:sz w:val="24"/>
          <w:szCs w:val="24"/>
        </w:rPr>
        <w:t xml:space="preserve">Elijah — sealing power, “to turn the heart of the fathers to the children” (Mal. 4:5–6).</w:t>
      </w:r>
    </w:p>
    <w:p>
      <w:pPr>
        <w:spacing w:after="80" w:before="80" w:line="300"/>
        <w:jc w:val="both"/>
      </w:pPr>
      <w:r>
        <w:rPr>
          <w:rFonts w:ascii="Garamond" w:cs="Garamond" w:eastAsia="Garamond" w:hAnsi="Garamond"/>
          <w:sz w:val="24"/>
          <w:szCs w:val="24"/>
        </w:rPr>
        <w:t xml:space="preserve">These appearances completed the cycle prophesied in Malachi and anticipated by Moroni in his 1823 visitation.</w:t>
      </w:r>
    </w:p>
    <w:p>
      <w:pPr>
        <w:pStyle w:val="Heading2"/>
        <w:spacing w:after="140" w:before="280"/>
      </w:pPr>
      <w:r>
        <w:rPr>
          <w:rFonts w:ascii="Garamond" w:cs="Garamond" w:eastAsia="Garamond" w:hAnsi="Garamond"/>
          <w:b/>
          <w:bCs/>
          <w:sz w:val="28"/>
          <w:szCs w:val="28"/>
        </w:rPr>
        <w:t xml:space="preserve">E. Historical Development of the Church's Name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80"/>
        <w:gridCol w:w="3640"/>
        <w:gridCol w:w="3640"/>
      </w:tblGrid>
      <w:tr>
        <w:trPr>
          <w:tblHeader/>
        </w:trPr>
        <w:tc>
          <w:tcPr>
            <w:tcW w:type="dxa" w:w="208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Period</w:t>
            </w:r>
          </w:p>
        </w:tc>
        <w:tc>
          <w:tcPr>
            <w:tcW w:type="dxa" w:w="364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Official Name</w:t>
            </w:r>
          </w:p>
        </w:tc>
        <w:tc>
          <w:tcPr>
            <w:tcW w:type="dxa" w:w="364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Source</w:t>
            </w:r>
          </w:p>
        </w:tc>
      </w:tr>
      <w:tr>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1830–1834</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The Church of Christ</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Book of Commandments (1833); D&amp;C 20 heading</w:t>
            </w:r>
          </w:p>
        </w:tc>
      </w:tr>
      <w:tr>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1834–1838</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The Church of the Latter Day Saints</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Minutes of Kirtland conference, May 3, 1834</w:t>
            </w:r>
          </w:p>
        </w:tc>
      </w:tr>
      <w:tr>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Since 1838</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The Church of Jesus Christ of Latter-day Saints</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Revelation recorded April 26, 1838 at Far West, Missouri → D&amp;C 115:4</w:t>
            </w:r>
          </w:p>
        </w:tc>
      </w:tr>
    </w:tbl>
    <w:p>
      <w:pPr>
        <w:spacing w:after="120" w:before="120" w:line="280"/>
        <w:ind w:left="720" w:right="720"/>
        <w:jc w:val="both"/>
      </w:pPr>
      <w:r>
        <w:rPr>
          <w:rFonts w:ascii="Garamond" w:cs="Garamond" w:eastAsia="Garamond" w:hAnsi="Garamond"/>
          <w:i/>
          <w:iCs/>
          <w:sz w:val="22"/>
          <w:szCs w:val="22"/>
        </w:rPr>
        <w:t xml:space="preserve">D&amp;C 115:4: “For thus shall my church be called in the last days, even The Church of Jesus Christ of Latter-day Saints.”</w:t>
      </w:r>
    </w:p>
    <w:p>
      <w:pPr>
        <w:spacing w:after="80" w:before="80" w:line="300"/>
        <w:jc w:val="both"/>
      </w:pPr>
      <w:r>
        <w:rPr>
          <w:rFonts w:ascii="Garamond" w:cs="Garamond" w:eastAsia="Garamond" w:hAnsi="Garamond"/>
          <w:sz w:val="24"/>
          <w:szCs w:val="24"/>
        </w:rPr>
        <w:t xml:space="preserve">In the prophetic framework, 1830 marks the Restoration Event — the legal organization (Rev. 12: “woman comes out of the wilderness”); 1834–1838 marks Identity Clarification — a transition period of developing structure; and the 1838 revelation marks the divine ratification of the full name emphasizing Jesus Christ and Latter-day Saints (the covenant people of the last days).</w:t>
      </w:r>
    </w:p>
    <w:p>
      <w:pPr>
        <w:pStyle w:val="Heading1"/>
        <w:spacing w:after="180" w:before="360"/>
        <w:jc w:val="left"/>
      </w:pPr>
      <w:r>
        <w:rPr>
          <w:rFonts w:ascii="Garamond" w:cs="Garamond" w:eastAsia="Garamond" w:hAnsi="Garamond"/>
          <w:b/>
          <w:bCs/>
          <w:sz w:val="32"/>
          <w:szCs w:val="32"/>
        </w:rPr>
        <w:t xml:space="preserve">XXI. The Restoration as the Reversal of Malachi's Curse</w:t>
      </w:r>
    </w:p>
    <w:p>
      <w:pPr>
        <w:spacing w:after="80" w:before="80" w:line="300"/>
        <w:jc w:val="both"/>
      </w:pPr>
      <w:r>
        <w:rPr>
          <w:rFonts w:ascii="Garamond" w:cs="Garamond" w:eastAsia="Garamond" w:hAnsi="Garamond"/>
          <w:sz w:val="24"/>
          <w:szCs w:val="24"/>
        </w:rPr>
        <w:t xml:space="preserve">Each apostate condition diagnosed by the prophets has its restorative counterpart in 1820–1836.</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Corruption Foretold (Old Covenant)</w:t>
            </w:r>
          </w:p>
        </w:tc>
        <w:tc>
          <w:tcPr>
            <w:tcW w:type="dxa" w:w="468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Restoration Fulfilled (New Dispensation)</w:t>
            </w:r>
          </w:p>
        </w:tc>
      </w:tr>
      <w:tr>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“Ye have corrupted the covenant of Levi.” (Mal. 2:8)</w:t>
            </w:r>
          </w:p>
        </w:tc>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Priesthood keys restored by angelic authority (D&amp;C 13; 27; 84).</w:t>
            </w:r>
          </w:p>
        </w:tc>
      </w:tr>
      <w:tr>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“Ye offer polluted sacrifices.” (Mal. 1:7)</w:t>
            </w:r>
          </w:p>
        </w:tc>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Pure ordinances instituted by revelation (D&amp;C 20:75–79).</w:t>
            </w:r>
          </w:p>
        </w:tc>
      </w:tr>
      <w:tr>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“Lips but not heart.” (Isa. 29:13; JS–H 1:19)</w:t>
            </w:r>
          </w:p>
        </w:tc>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Living prophets restore heart-centered worship through revelation.</w:t>
            </w:r>
          </w:p>
        </w:tc>
      </w:tr>
      <w:tr>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“Lest I come and smite the earth with a curse.” (Mal. 4:6)</w:t>
            </w:r>
          </w:p>
        </w:tc>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Sealing power given through Elijah (D&amp;C 110:13–16).</w:t>
            </w:r>
          </w:p>
        </w:tc>
      </w:tr>
      <w:tr>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Daniel's “abomination of desolation” — daily sacrifice removed</w:t>
            </w:r>
          </w:p>
        </w:tc>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Priesthood and ordinances restored (D&amp;C 13; 20)</w:t>
            </w:r>
          </w:p>
        </w:tc>
      </w:tr>
      <w:tr>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“Form of godliness” without power (2 Tim. 3:5)</w:t>
            </w:r>
          </w:p>
        </w:tc>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Power of godliness manifest through restored priesthood (D&amp;C 84:20–22)</w:t>
            </w:r>
          </w:p>
        </w:tc>
      </w:tr>
      <w:tr>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Plain truths removed (1 Ne. 13–14)</w:t>
            </w:r>
          </w:p>
        </w:tc>
        <w:tc>
          <w:tcPr>
            <w:tcW w:type="dxa" w:w="46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Book of Mormon translated and published, 1829–1830</w:t>
            </w:r>
          </w:p>
        </w:tc>
      </w:tr>
    </w:tbl>
    <w:p>
      <w:pPr>
        <w:spacing w:after="80" w:before="80" w:line="300"/>
        <w:jc w:val="both"/>
      </w:pPr>
      <w:r>
        <w:rPr>
          <w:rFonts w:ascii="Garamond" w:cs="Garamond" w:eastAsia="Garamond" w:hAnsi="Garamond"/>
          <w:sz w:val="24"/>
          <w:szCs w:val="24"/>
        </w:rPr>
        <w:t xml:space="preserve">The Restoration thus reads as the prophetic counterpoint to Malachi's closing warning — a re-creation of the covenant order, a purification of ordinances, and the return of divine authority.</w:t>
      </w:r>
    </w:p>
    <w:p>
      <w:r>
        <w:br w:type="page"/>
      </w:r>
    </w:p>
    <w:p>
      <w:pPr>
        <w:pStyle w:val="Heading1"/>
        <w:spacing w:after="240" w:before="480"/>
        <w:jc w:val="center"/>
      </w:pPr>
      <w:r>
        <w:rPr>
          <w:rFonts w:ascii="Garamond" w:cs="Garamond" w:eastAsia="Garamond" w:hAnsi="Garamond"/>
          <w:b/>
          <w:bCs/>
          <w:smallCaps/>
          <w:sz w:val="34"/>
          <w:szCs w:val="34"/>
        </w:rPr>
        <w:t xml:space="preserve">Part VII — Synthesis</w:t>
      </w:r>
    </w:p>
    <w:p>
      <w:pPr>
        <w:pStyle w:val="Heading1"/>
        <w:spacing w:after="180" w:before="360"/>
        <w:jc w:val="left"/>
      </w:pPr>
      <w:r>
        <w:rPr>
          <w:rFonts w:ascii="Garamond" w:cs="Garamond" w:eastAsia="Garamond" w:hAnsi="Garamond"/>
          <w:b/>
          <w:bCs/>
          <w:sz w:val="32"/>
          <w:szCs w:val="32"/>
        </w:rPr>
        <w:t xml:space="preserve">XXII. The Joseph Branch and the Second Gathering</w:t>
      </w:r>
    </w:p>
    <w:p>
      <w:pPr>
        <w:spacing w:after="80" w:before="80" w:line="300"/>
        <w:jc w:val="both"/>
      </w:pPr>
      <w:r>
        <w:rPr>
          <w:rFonts w:ascii="Garamond" w:cs="Garamond" w:eastAsia="Garamond" w:hAnsi="Garamond"/>
          <w:sz w:val="24"/>
          <w:szCs w:val="24"/>
        </w:rPr>
        <w:t xml:space="preserve">A separate but converging thread runs through Lehi's lineage. Lehi was a descendant of Joseph through Manasseh (Alma 10:3). In Genesis 48–50, Jacob blessed Joseph's sons Ephraim and Manasseh that they would become “a multitude of nations.” Latter-day Saints interpret this as branches of Joseph's posterity spreading widely across the earth before being gathered again in the last days.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Prophetic Strand</w:t>
            </w:r>
          </w:p>
        </w:tc>
        <w:tc>
          <w:tcPr>
            <w:tcW w:type="dxa" w:w="312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Ancient Fulfillment</w:t>
            </w:r>
          </w:p>
        </w:tc>
        <w:tc>
          <w:tcPr>
            <w:tcW w:type="dxa" w:w="312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Modern Fulfillment</w:t>
            </w:r>
          </w:p>
        </w:tc>
      </w:tr>
      <w:tr>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Isaiah's promise of a “second gathering” (Isa. 11:11–12)</w:t>
            </w:r>
          </w:p>
        </w:tc>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Scattering of Israel (Assyria, Babylon, Lehi's departure)</w:t>
            </w:r>
          </w:p>
        </w:tc>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Worldwide missionary work and temple covenants of the Restoration (D&amp;C 110; 133)</w:t>
            </w:r>
          </w:p>
        </w:tc>
      </w:tr>
      <w:tr>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Lehi's “Joseph branch”</w:t>
            </w:r>
          </w:p>
        </w:tc>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A covenant remnant led by revelation to another land</w:t>
            </w:r>
          </w:p>
        </w:tc>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Book of Mormon comes from Joseph's seed to help gather Israel again (2 Ne. 3:5–24)</w:t>
            </w:r>
          </w:p>
        </w:tc>
      </w:tr>
      <w:tr>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Genesis 48–50 blessings on Joseph</w:t>
            </w:r>
          </w:p>
        </w:tc>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“A fruitful bough by a well… whose branches run over the wall”</w:t>
            </w:r>
          </w:p>
        </w:tc>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Joseph's descendants spread across the seas; their record overflows to all nations</w:t>
            </w:r>
          </w:p>
        </w:tc>
      </w:tr>
    </w:tbl>
    <w:p>
      <w:pPr>
        <w:spacing w:after="80" w:before="80" w:line="300"/>
        <w:jc w:val="both"/>
      </w:pPr>
      <w:r>
        <w:rPr>
          <w:rFonts w:ascii="Garamond" w:cs="Garamond" w:eastAsia="Garamond" w:hAnsi="Garamond"/>
          <w:sz w:val="24"/>
          <w:szCs w:val="24"/>
        </w:rPr>
        <w:t xml:space="preserve">Lehi's exodus is therefore both historical and typological — a symbol of scattering and the seed of the future gathering that culminates in the nineteenth-century Restoration. Isaiah's eighth-century theology of scattering and gathering, Lehi's sixth-century departure, and Joseph Smith's nineteenth-century work form one continuous prophetic line: scattering, preservation, and reunion under the keys restored through Joseph Smith. Two threads of that line are worth drawing out in their own right: the geographic specificity of the Genesis blessing on Joseph, and the role of the Gentiles who would carry the restored light to the gathered house of Israel.</w:t>
      </w:r>
    </w:p>
    <w:p>
      <w:pPr>
        <w:pStyle w:val="Heading2"/>
        <w:spacing w:after="140" w:before="280"/>
      </w:pPr>
      <w:r>
        <w:rPr>
          <w:rFonts w:ascii="Garamond" w:cs="Garamond" w:eastAsia="Garamond" w:hAnsi="Garamond"/>
          <w:b/>
          <w:bCs/>
          <w:sz w:val="28"/>
          <w:szCs w:val="28"/>
        </w:rPr>
        <w:t xml:space="preserve">A. The Fruitful Bough — Branches Run Over the Wall</w:t>
      </w:r>
    </w:p>
    <w:p>
      <w:pPr>
        <w:spacing w:after="120" w:before="120" w:line="280"/>
        <w:ind w:left="720" w:right="720"/>
        <w:jc w:val="both"/>
      </w:pPr>
      <w:r>
        <w:rPr>
          <w:rFonts w:ascii="Garamond" w:cs="Garamond" w:eastAsia="Garamond" w:hAnsi="Garamond"/>
          <w:i/>
          <w:iCs/>
          <w:sz w:val="22"/>
          <w:szCs w:val="22"/>
        </w:rPr>
        <w:t xml:space="preserve">Genesis 49:22: “Joseph is a fruitful bough, even a fruitful bough by a well; whose branches run over the wall.”</w:t>
      </w:r>
    </w:p>
    <w:p>
      <w:pPr>
        <w:spacing w:after="80" w:before="80" w:line="300"/>
        <w:jc w:val="both"/>
      </w:pPr>
      <w:r>
        <w:rPr>
          <w:rFonts w:ascii="Garamond" w:cs="Garamond" w:eastAsia="Garamond" w:hAnsi="Garamond"/>
          <w:sz w:val="24"/>
          <w:szCs w:val="24"/>
        </w:rPr>
        <w:t xml:space="preserve">The prophetic imagery Jacob spoke over Joseph in Genesis 49 is more specific than a general “multitude of nations.” It is geographic. The bough is Joseph; the well is the source of life and revelation; the branches running over the wall are descendants who cross beyond the geographic limits of the ancient biblical world. The wall is the boundary of the lands the Genesis narrator could see — the eastern Mediterranean basin and the territories around the Jordan. To run “over the wall” is to cross the line that confines the biblical horizon.</w:t>
      </w:r>
    </w:p>
    <w:p>
      <w:pPr>
        <w:spacing w:after="80" w:before="80" w:line="300"/>
        <w:jc w:val="both"/>
      </w:pPr>
      <w:r>
        <w:rPr>
          <w:rFonts w:ascii="Garamond" w:cs="Garamond" w:eastAsia="Garamond" w:hAnsi="Garamond"/>
          <w:sz w:val="24"/>
          <w:szCs w:val="24"/>
        </w:rPr>
        <w:t xml:space="preserve">Lehi’s family — descendants of Manasseh (Alma 10:3) — literally crossed that line. They went forth upon “the many waters” (1 Ne. 13:12), out of the lands that any pre-exilic Hebrew narrator could have named, and into a promised land “choice above all other lands” (1 Ne. 2:20; cf. Ether 1:42). The Lehite exodus is, on this reading, the first historical fulfillment of Genesis 49:22: a Joseph branch literally running over the wall, into territory the Old Testament canon does not otherwise describe. The Book of Mormon is therefore not only a Joseph-branch record (2 Ne. 3:5–24); it is also the fruit of the bough that grew on the far side of the wall — the harvest the Genesis blessing had foretold.</w:t>
      </w:r>
    </w:p>
    <w:p>
      <w:pPr>
        <w:spacing w:after="80" w:before="80" w:line="300"/>
        <w:jc w:val="both"/>
      </w:pPr>
      <w:r>
        <w:rPr>
          <w:rFonts w:ascii="Garamond" w:cs="Garamond" w:eastAsia="Garamond" w:hAnsi="Garamond"/>
          <w:sz w:val="24"/>
          <w:szCs w:val="24"/>
        </w:rPr>
        <w:t xml:space="preserve">The fruit, on this reading, is twofold. First, the literal posterity: “the seed of my brethren who were in the promised land” (1 Ne. 13:12), spread across two continents over a thousand years. Second, the textual fruit: the preserved record of that posterity, brought forth in 1830 to “make known the plain and precious things which have been taken away” from the Bible (1 Ne. 13:40). What the wall once concealed, the Restoration discloses: the Genesis blessing on Joseph’s bough yields, in the latter days, a record “to be sent forth unto every nation, kindred, tongue, and people” (D&amp;C 42:58; cf. D&amp;C 90:11).</w:t>
      </w:r>
    </w:p>
    <w:p>
      <w:pPr>
        <w:pStyle w:val="Heading2"/>
        <w:spacing w:after="140" w:before="280"/>
      </w:pPr>
      <w:r>
        <w:rPr>
          <w:rFonts w:ascii="Garamond" w:cs="Garamond" w:eastAsia="Garamond" w:hAnsi="Garamond"/>
          <w:b/>
          <w:bCs/>
          <w:sz w:val="28"/>
          <w:szCs w:val="28"/>
        </w:rPr>
        <w:t xml:space="preserve">B. The Gentile Commission — Bearing Light for the Second Gathering</w:t>
      </w:r>
    </w:p>
    <w:p>
      <w:pPr>
        <w:spacing w:after="80" w:before="80" w:line="300"/>
        <w:jc w:val="both"/>
      </w:pPr>
      <w:r>
        <w:rPr>
          <w:rFonts w:ascii="Garamond" w:cs="Garamond" w:eastAsia="Garamond" w:hAnsi="Garamond"/>
          <w:sz w:val="24"/>
          <w:szCs w:val="24"/>
        </w:rPr>
        <w:t xml:space="preserve">The Joseph branch and the cradle of liberty converge upon a final prophetic objective: the second gathering of Israel. Isaiah’s promise was that the Lord would “set his hand again the second time to recover the remnant of his people” (Isa. 11:11), a verse Nephi quotes verbatim in 2 Nephi 21:11 and which the Title Page of the Book of Mormon names as part of the work’s purpose — “to show unto the remnant of the house of Israel what great things the Lord hath done for their fathers; and that they may know the covenants of the Lord, that they are not cast off forever.”</w:t>
      </w:r>
    </w:p>
    <w:p>
      <w:pPr>
        <w:spacing w:after="80" w:before="80" w:line="300"/>
        <w:jc w:val="both"/>
      </w:pPr>
      <w:r>
        <w:rPr>
          <w:rFonts w:ascii="Garamond" w:cs="Garamond" w:eastAsia="Garamond" w:hAnsi="Garamond"/>
          <w:sz w:val="24"/>
          <w:szCs w:val="24"/>
        </w:rPr>
        <w:t xml:space="preserve">In Isaiah this second recovery is bound to a light that goes outward to the nations. “I the Lord have called thee in righteousness,” Isaiah writes, “and will give thee for a covenant of the people, for a light of the Gentiles” (Isa. 42:6). And again, the more famous promise: “I will also give thee for a light to the Gentiles, that thou mayest be my salvation unto the end of the earth” (Isa. 49:6). The covenant that comes to the Gentiles in the latter days does not stop with them. It goes through them, outward, back to the remnants of Lehi’s seed and to the scattered tribes of Israel.</w:t>
      </w:r>
    </w:p>
    <w:p>
      <w:pPr>
        <w:spacing w:after="80" w:before="80" w:line="300"/>
        <w:jc w:val="both"/>
      </w:pPr>
      <w:r>
        <w:rPr>
          <w:rFonts w:ascii="Garamond" w:cs="Garamond" w:eastAsia="Garamond" w:hAnsi="Garamond"/>
          <w:sz w:val="24"/>
          <w:szCs w:val="24"/>
        </w:rPr>
        <w:t xml:space="preserve">The mechanics of this gathering are described in the Book of Mormon in some detail. The record itself comes from Joseph’s seed (2 Ne. 3:5–24); the gospel goes first to the Gentiles in the days of the Restoration (1 Ne. 13:39–42; 3 Ne. 16:6–7); the Gentiles, having received it, then carry it to the remnants and to all Israel (3 Ne. 16:11–12; 21:1–7). The role assigned to the Gentiles is not passive reception; it is active commission. Christ tells His Nephite disciples: “I am the light; I have set an example for you… hold up your light that it may shine unto the world” (3 Ne. 18:24).</w:t>
      </w:r>
    </w:p>
    <w:p>
      <w:pPr>
        <w:spacing w:after="80" w:before="80" w:line="300"/>
        <w:jc w:val="both"/>
      </w:pPr>
      <w:r>
        <w:rPr>
          <w:rFonts w:ascii="Garamond" w:cs="Garamond" w:eastAsia="Garamond" w:hAnsi="Garamond"/>
          <w:sz w:val="24"/>
          <w:szCs w:val="24"/>
        </w:rPr>
        <w:t xml:space="preserve">The covenant flow can be traced in four stages.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80"/>
        <w:gridCol w:w="3640"/>
        <w:gridCol w:w="3640"/>
      </w:tblGrid>
      <w:tr>
        <w:trPr>
          <w:tblHeader/>
        </w:trPr>
        <w:tc>
          <w:tcPr>
            <w:tcW w:type="dxa" w:w="208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Phase</w:t>
            </w:r>
          </w:p>
        </w:tc>
        <w:tc>
          <w:tcPr>
            <w:tcW w:type="dxa" w:w="364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Prophetic Action</w:t>
            </w:r>
          </w:p>
        </w:tc>
        <w:tc>
          <w:tcPr>
            <w:tcW w:type="dxa" w:w="364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Result</w:t>
            </w:r>
          </w:p>
        </w:tc>
      </w:tr>
      <w:tr>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Scattering</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Israel scattered; the true light obscured (Amos 8:11–12)</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The world sits in darkness; the first gathering is broken</w:t>
            </w:r>
          </w:p>
        </w:tc>
      </w:tr>
      <w:tr>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Preparation</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The Spirit works upon a Gentile (1 Ne. 13:12); the cradle of liberty is built (D&amp;C 101:80)</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A land of liberty is prepared in which the light can return</w:t>
            </w:r>
          </w:p>
        </w:tc>
      </w:tr>
      <w:tr>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Restoration</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The light — priesthood, covenants, the Book of Mormon — is restored among the Gentiles, 1830</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The woman emerges from the wilderness; truth re-established</w:t>
            </w:r>
          </w:p>
        </w:tc>
      </w:tr>
      <w:tr>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Second Gathering</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The Gentiles bear that light to the ends of the earth (Isa. 49:6; 3 Ne. 16:11–12; 21:1–7)</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Worldwide missionary work and temple covenants gather scattered Israel (D&amp;C 110:11; 133:1–35)</w:t>
            </w:r>
          </w:p>
        </w:tc>
      </w:tr>
    </w:tbl>
    <w:p>
      <w:pPr>
        <w:spacing w:after="80" w:before="80" w:line="300"/>
        <w:jc w:val="both"/>
      </w:pPr>
      <w:r>
        <w:rPr>
          <w:rFonts w:ascii="Garamond" w:cs="Garamond" w:eastAsia="Garamond" w:hAnsi="Garamond"/>
          <w:sz w:val="24"/>
          <w:szCs w:val="24"/>
        </w:rPr>
        <w:t xml:space="preserve">Read in this light, the Restoration of 1830 is not a terminus. It is a hinge. The 1,260-year wilderness ends so that a different work may begin: the going-forth of the gathered light from a small, prepared corner of the world to the corners of the earth, until “the earth shall be full of the knowledge of the Lord, as the waters cover the sea” (Isa. 11:9; cf. 2 Ne. 30:15). The fruitful bough that ran over the wall in 600 B.C. yields its harvest in 1830; the harvest is then carried, by the Gentiles who first received it, back to the very tribes from whom Joseph’s branch had once departed. The covenant flow closes upon itself.</w:t>
      </w:r>
    </w:p>
    <w:p>
      <w:pPr>
        <w:pStyle w:val="Heading1"/>
        <w:spacing w:after="180" w:before="360"/>
        <w:jc w:val="left"/>
      </w:pPr>
      <w:r>
        <w:rPr>
          <w:rFonts w:ascii="Garamond" w:cs="Garamond" w:eastAsia="Garamond" w:hAnsi="Garamond"/>
          <w:b/>
          <w:bCs/>
          <w:sz w:val="32"/>
          <w:szCs w:val="32"/>
        </w:rPr>
        <w:t xml:space="preserve">XXIII. The Restored Marriage Covenant of Israel</w:t>
      </w:r>
    </w:p>
    <w:p>
      <w:pPr>
        <w:spacing w:after="80" w:before="80" w:line="300"/>
        <w:jc w:val="both"/>
      </w:pPr>
      <w:r>
        <w:rPr>
          <w:rFonts w:ascii="Garamond" w:cs="Garamond" w:eastAsia="Garamond" w:hAnsi="Garamond"/>
          <w:sz w:val="24"/>
          <w:szCs w:val="24"/>
        </w:rPr>
        <w:t xml:space="preserve">The wilderness motif that opened this study — Hosea's “wilderness of betrothal” — closes upon a corresponding image: the covenant reunion of the Lord and His people. Throughout the prophets, Israel is portrayed not merely as a nation under God but as a bride under a Husband. The fall of Israel, the long apostasy, and the Restoration of 1830 are therefore not only political and ecclesiastical events; they are stages of a marriage estranged and a marriage renewed.</w:t>
      </w:r>
    </w:p>
    <w:p>
      <w:pPr>
        <w:pStyle w:val="Heading2"/>
        <w:spacing w:after="140" w:before="280"/>
      </w:pPr>
      <w:r>
        <w:rPr>
          <w:rFonts w:ascii="Garamond" w:cs="Garamond" w:eastAsia="Garamond" w:hAnsi="Garamond"/>
          <w:b/>
          <w:bCs/>
          <w:sz w:val="28"/>
          <w:szCs w:val="28"/>
        </w:rPr>
        <w:t xml:space="preserve">A. The Bridal Imagery in the Prophets</w:t>
      </w:r>
    </w:p>
    <w:p>
      <w:pPr>
        <w:spacing w:after="80" w:before="80" w:line="300"/>
        <w:jc w:val="both"/>
      </w:pPr>
      <w:r>
        <w:rPr>
          <w:rFonts w:ascii="Garamond" w:cs="Garamond" w:eastAsia="Garamond" w:hAnsi="Garamond"/>
          <w:sz w:val="24"/>
          <w:szCs w:val="24"/>
        </w:rPr>
        <w:t xml:space="preserve">Three prophetic voices establish the same picture. Hosea presents Israel as the unfaithful wife whom the Lord nevertheless allures back into the wilderness, where she will again “call me Ishi” — my Husband (Hos. 2:14–16). Isaiah, in chapters 51–54, addresses Zion as a forsaken bride who will be restored: “For thy Maker is thine husband; the Lord of hosts is his name… For a small moment have I forsaken thee; but with great mercies will I gather thee” (Isa. 54:5–7). John, in Revelation 19 and 21, brings the image to its culmination: the Marriage Supper of the Lamb and the descent of the New Jerusalem, “prepared as a bride adorned for her husband.”</w:t>
      </w:r>
    </w:p>
    <w:p>
      <w:pPr>
        <w:pStyle w:val="Heading2"/>
        <w:spacing w:after="140" w:before="280"/>
      </w:pPr>
      <w:r>
        <w:rPr>
          <w:rFonts w:ascii="Garamond" w:cs="Garamond" w:eastAsia="Garamond" w:hAnsi="Garamond"/>
          <w:b/>
          <w:bCs/>
          <w:sz w:val="28"/>
          <w:szCs w:val="28"/>
        </w:rPr>
        <w:t xml:space="preserve">B. “Look unto Abraham and Sarah” — Jacob's Use of Isaiah</w:t>
      </w:r>
    </w:p>
    <w:p>
      <w:pPr>
        <w:spacing w:after="80" w:before="80" w:line="300"/>
        <w:jc w:val="both"/>
      </w:pPr>
      <w:r>
        <w:rPr>
          <w:rFonts w:ascii="Garamond" w:cs="Garamond" w:eastAsia="Garamond" w:hAnsi="Garamond"/>
          <w:sz w:val="24"/>
          <w:szCs w:val="24"/>
        </w:rPr>
        <w:t xml:space="preserve">When Nephi's brother Jacob addresses his people in 2 Nephi 8–9, he quotes Isaiah 51–52 almost word for word, drawing the reader back to the foundational covenant marriage:</w:t>
      </w:r>
    </w:p>
    <w:p>
      <w:pPr>
        <w:spacing w:after="120" w:before="120" w:line="280"/>
        <w:ind w:left="720" w:right="720"/>
        <w:jc w:val="both"/>
      </w:pPr>
      <w:r>
        <w:rPr>
          <w:rFonts w:ascii="Garamond" w:cs="Garamond" w:eastAsia="Garamond" w:hAnsi="Garamond"/>
          <w:i/>
          <w:iCs/>
          <w:sz w:val="22"/>
          <w:szCs w:val="22"/>
        </w:rPr>
        <w:t xml:space="preserve">“Look unto Abraham your father, and unto Sarah she that bare you; for I called him alone, and blessed him.” — 2 Nephi 8:2 / Isaiah 51:2</w:t>
      </w:r>
    </w:p>
    <w:p>
      <w:pPr>
        <w:spacing w:after="80" w:before="80" w:line="300"/>
        <w:jc w:val="both"/>
      </w:pPr>
      <w:r>
        <w:rPr>
          <w:rFonts w:ascii="Garamond" w:cs="Garamond" w:eastAsia="Garamond" w:hAnsi="Garamond"/>
          <w:sz w:val="24"/>
          <w:szCs w:val="24"/>
        </w:rPr>
        <w:t xml:space="preserve">The summons to “look unto Abraham and Sarah” is not merely genealogical; it is covenantal and marital. Isaiah presents Israel as the wife of Jehovah who has forgotten her Husband; Jacob uses the same passage to show that the Lord, the Bridegroom, will again comfort and gather Zion. In 2 Nephi 9, Jacob then interprets that citation: because of the Atonement of Christ, the covenant family can be restored — Abraham's posterity, both literal and adopted, can again “inherit the promises.”</w:t>
      </w:r>
    </w:p>
    <w:p>
      <w:pPr>
        <w:spacing w:after="80" w:before="80" w:line="300"/>
        <w:jc w:val="both"/>
      </w:pPr>
      <w:r>
        <w:rPr>
          <w:rFonts w:ascii="Garamond" w:cs="Garamond" w:eastAsia="Garamond" w:hAnsi="Garamond"/>
          <w:sz w:val="24"/>
          <w:szCs w:val="24"/>
        </w:rPr>
        <w:t xml:space="preserve">Three movements follow from Jacob's reading. First, the Abraham–Sarah union is itself a type of the covenant relationship between the Lord and Israel. Second, Israel's exile — like a wife cast off — is temporary; the Lord will “call her back” in mercy. Third, the Restoration fulfills that promise: the covenant family is gathered, the ordinances return, and Zion is renewed as a faithful bride. This is why Nephi later writes that he “did read unto them that which was written by the prophet Isaiah, for he verily saw my Redeemer” (2 Ne. 11:2). To Nephi, Isaiah's marriage-and-gathering language was the key to understanding the Restoration: a divine reunion between the Lord, the Husband, and His covenant people, the bride.</w:t>
      </w:r>
    </w:p>
    <w:p>
      <w:pPr>
        <w:pStyle w:val="Heading2"/>
        <w:spacing w:after="140" w:before="280"/>
      </w:pPr>
      <w:r>
        <w:rPr>
          <w:rFonts w:ascii="Garamond" w:cs="Garamond" w:eastAsia="Garamond" w:hAnsi="Garamond"/>
          <w:b/>
          <w:bCs/>
          <w:sz w:val="28"/>
          <w:szCs w:val="28"/>
        </w:rPr>
        <w:t xml:space="preserve">C. The Wilderness as Place of Betrothal Renewed</w:t>
      </w:r>
    </w:p>
    <w:p>
      <w:pPr>
        <w:spacing w:after="80" w:before="80" w:line="300"/>
        <w:jc w:val="both"/>
      </w:pPr>
      <w:r>
        <w:rPr>
          <w:rFonts w:ascii="Garamond" w:cs="Garamond" w:eastAsia="Garamond" w:hAnsi="Garamond"/>
          <w:sz w:val="24"/>
          <w:szCs w:val="24"/>
        </w:rPr>
        <w:t xml:space="preserve">This reading folds the marriage motif back into the architecture of Revelation 12. The woman in the wilderness is not only Israel preserved; she is Israel betrothed. The wilderness is not only refuge from the dragon; it is the place where the covenant of love is rekindled, exactly as Hosea promised. The 1,260-year sojourn is therefore not abandonment but engagement — a long espousal during which the bride is hidden, prepared, and finally led out to her Husband.</w:t>
      </w:r>
    </w:p>
    <w:p>
      <w:pPr>
        <w:pStyle w:val="Heading2"/>
        <w:spacing w:after="140" w:before="280"/>
      </w:pPr>
      <w:r>
        <w:rPr>
          <w:rFonts w:ascii="Garamond" w:cs="Garamond" w:eastAsia="Garamond" w:hAnsi="Garamond"/>
          <w:b/>
          <w:bCs/>
          <w:sz w:val="28"/>
          <w:szCs w:val="28"/>
        </w:rPr>
        <w:t xml:space="preserve">D. Restoration as Covenant Reunion</w:t>
      </w:r>
    </w:p>
    <w:p>
      <w:pPr>
        <w:spacing w:after="80" w:before="80" w:line="300"/>
        <w:jc w:val="both"/>
      </w:pPr>
      <w:r>
        <w:rPr>
          <w:rFonts w:ascii="Garamond" w:cs="Garamond" w:eastAsia="Garamond" w:hAnsi="Garamond"/>
          <w:sz w:val="24"/>
          <w:szCs w:val="24"/>
        </w:rPr>
        <w:t xml:space="preserve">Read against this typology, the events of 1829–1836 take on a nuptial register. The conferral of priesthood keys, the gathering of Israel through Moses' return, the Abrahamic covenant restored through Elias, and Elijah's sealing power all converge upon a single end: the Lord again binds His people to Himself by covenant. Temple sealing, in this light, is not merely the joining of husbands and wives across generations but the restoration of the marriage of Jehovah and Zion as a working ordinance — the form through which the long-promised reunion becomes real.</w:t>
      </w:r>
    </w:p>
    <w:p>
      <w:pPr>
        <w:pStyle w:val="Heading2"/>
        <w:spacing w:after="140" w:before="280"/>
      </w:pPr>
      <w:r>
        <w:rPr>
          <w:rFonts w:ascii="Garamond" w:cs="Garamond" w:eastAsia="Garamond" w:hAnsi="Garamond"/>
          <w:b/>
          <w:bCs/>
          <w:sz w:val="28"/>
          <w:szCs w:val="28"/>
        </w:rPr>
        <w:t xml:space="preserve">E. Symbolic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06"/>
        <w:gridCol w:w="2418"/>
        <w:gridCol w:w="2418"/>
        <w:gridCol w:w="2418"/>
      </w:tblGrid>
      <w:tr>
        <w:trPr>
          <w:tblHeader/>
        </w:trPr>
        <w:tc>
          <w:tcPr>
            <w:tcW w:type="dxa" w:w="2106"/>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Symbol</w:t>
            </w:r>
          </w:p>
        </w:tc>
        <w:tc>
          <w:tcPr>
            <w:tcW w:type="dxa" w:w="2418"/>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Old Testament Image</w:t>
            </w:r>
          </w:p>
        </w:tc>
        <w:tc>
          <w:tcPr>
            <w:tcW w:type="dxa" w:w="2418"/>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Book of Mormon Use</w:t>
            </w:r>
          </w:p>
        </w:tc>
        <w:tc>
          <w:tcPr>
            <w:tcW w:type="dxa" w:w="2418"/>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Restoration Fulfillment</w:t>
            </w:r>
          </w:p>
        </w:tc>
      </w:tr>
      <w:tr>
        <w:tc>
          <w:tcPr>
            <w:tcW w:type="dxa" w:w="2106"/>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Husband / Lord</w:t>
            </w:r>
          </w:p>
        </w:tc>
        <w:tc>
          <w:tcPr>
            <w:tcW w:type="dxa" w:w="2418"/>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Jehovah, who covenants with Israel (Isa. 54; Hosea 2)</w:t>
            </w:r>
          </w:p>
        </w:tc>
        <w:tc>
          <w:tcPr>
            <w:tcW w:type="dxa" w:w="2418"/>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Christ, Redeemer of Zion (2 Ne. 9:5–15)</w:t>
            </w:r>
          </w:p>
        </w:tc>
        <w:tc>
          <w:tcPr>
            <w:tcW w:type="dxa" w:w="2418"/>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Christ restores His Church and covenants</w:t>
            </w:r>
          </w:p>
        </w:tc>
      </w:tr>
      <w:tr>
        <w:tc>
          <w:tcPr>
            <w:tcW w:type="dxa" w:w="2106"/>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Wife / Zion</w:t>
            </w:r>
          </w:p>
        </w:tc>
        <w:tc>
          <w:tcPr>
            <w:tcW w:type="dxa" w:w="2418"/>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Israel, scattered and forsaken</w:t>
            </w:r>
          </w:p>
        </w:tc>
        <w:tc>
          <w:tcPr>
            <w:tcW w:type="dxa" w:w="2418"/>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Nephite remnant as type of covenant people</w:t>
            </w:r>
          </w:p>
        </w:tc>
        <w:tc>
          <w:tcPr>
            <w:tcW w:type="dxa" w:w="2418"/>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Gathered Church — the woman emerging from wilderness</w:t>
            </w:r>
          </w:p>
        </w:tc>
      </w:tr>
      <w:tr>
        <w:tc>
          <w:tcPr>
            <w:tcW w:type="dxa" w:w="2106"/>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Abraham &amp; Sarah</w:t>
            </w:r>
          </w:p>
        </w:tc>
        <w:tc>
          <w:tcPr>
            <w:tcW w:type="dxa" w:w="2418"/>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Parents of the covenant seed (Gen. 17; Isa. 51:2)</w:t>
            </w:r>
          </w:p>
        </w:tc>
        <w:tc>
          <w:tcPr>
            <w:tcW w:type="dxa" w:w="2418"/>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Cited by Jacob to show renewal of promises (2 Ne. 8)</w:t>
            </w:r>
          </w:p>
        </w:tc>
        <w:tc>
          <w:tcPr>
            <w:tcW w:type="dxa" w:w="2418"/>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Restoration restores Abrahamic covenants through priesthood keys</w:t>
            </w:r>
          </w:p>
        </w:tc>
      </w:tr>
      <w:tr>
        <w:tc>
          <w:tcPr>
            <w:tcW w:type="dxa" w:w="2106"/>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Marriage covenant</w:t>
            </w:r>
          </w:p>
        </w:tc>
        <w:tc>
          <w:tcPr>
            <w:tcW w:type="dxa" w:w="2418"/>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Divine fidelity and mercy</w:t>
            </w:r>
          </w:p>
        </w:tc>
        <w:tc>
          <w:tcPr>
            <w:tcW w:type="dxa" w:w="2418"/>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Spiritual reconciliation</w:t>
            </w:r>
          </w:p>
        </w:tc>
        <w:tc>
          <w:tcPr>
            <w:tcW w:type="dxa" w:w="2418"/>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Temples and sealing power renew the everlasting covenant</w:t>
            </w:r>
          </w:p>
        </w:tc>
      </w:tr>
    </w:tbl>
    <w:p>
      <w:pPr>
        <w:spacing w:after="80" w:before="80" w:line="300"/>
        <w:jc w:val="both"/>
      </w:pPr>
      <w:r>
        <w:rPr>
          <w:rFonts w:ascii="Garamond" w:cs="Garamond" w:eastAsia="Garamond" w:hAnsi="Garamond"/>
          <w:sz w:val="24"/>
          <w:szCs w:val="24"/>
        </w:rPr>
        <w:t xml:space="preserve">Thus the chapter that opened with a woman fleeing into a wilderness ends with that same woman — covenant Zion — returning to her Husband. The Restoration is not only the return of priesthood, ordinance, and revelation; it is the restoration of a marriage.</w:t>
      </w:r>
    </w:p>
    <w:p>
      <w:pPr>
        <w:pStyle w:val="Heading1"/>
        <w:spacing w:after="180" w:before="360"/>
        <w:jc w:val="left"/>
      </w:pPr>
      <w:r>
        <w:rPr>
          <w:rFonts w:ascii="Garamond" w:cs="Garamond" w:eastAsia="Garamond" w:hAnsi="Garamond"/>
          <w:b/>
          <w:bCs/>
          <w:sz w:val="32"/>
          <w:szCs w:val="32"/>
        </w:rPr>
        <w:t xml:space="preserve">XXIV. Summary Table of Prophetic Equivalents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2080"/>
        <w:gridCol w:w="4160"/>
      </w:tblGrid>
      <w:tr>
        <w:trPr>
          <w:tblHeader/>
        </w:trPr>
        <w:tc>
          <w:tcPr>
            <w:tcW w:type="dxa" w:w="312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Term</w:t>
            </w:r>
          </w:p>
        </w:tc>
        <w:tc>
          <w:tcPr>
            <w:tcW w:type="dxa" w:w="208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Duration</w:t>
            </w:r>
          </w:p>
        </w:tc>
        <w:tc>
          <w:tcPr>
            <w:tcW w:type="dxa" w:w="416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Description</w:t>
            </w:r>
          </w:p>
        </w:tc>
      </w:tr>
      <w:tr>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“One week” (Dan. 9:27)</w:t>
            </w:r>
          </w:p>
        </w:tc>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7 years</w:t>
            </w:r>
          </w:p>
        </w:tc>
        <w:tc>
          <w:tcPr>
            <w:tcW w:type="dxa" w:w="416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The final tribulation period</w:t>
            </w:r>
          </w:p>
        </w:tc>
      </w:tr>
      <w:tr>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“Half of the week”</w:t>
            </w:r>
          </w:p>
        </w:tc>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3½ years</w:t>
            </w:r>
          </w:p>
        </w:tc>
        <w:tc>
          <w:tcPr>
            <w:tcW w:type="dxa" w:w="416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The covenant-breaking midpoint</w:t>
            </w:r>
          </w:p>
        </w:tc>
      </w:tr>
      <w:tr>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“1,260 days”</w:t>
            </w:r>
          </w:p>
        </w:tc>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3½ years</w:t>
            </w:r>
          </w:p>
        </w:tc>
        <w:tc>
          <w:tcPr>
            <w:tcW w:type="dxa" w:w="416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The woman's protection; the witnesses' ministry</w:t>
            </w:r>
          </w:p>
        </w:tc>
      </w:tr>
      <w:tr>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“42 months”</w:t>
            </w:r>
          </w:p>
        </w:tc>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3½ years</w:t>
            </w:r>
          </w:p>
        </w:tc>
        <w:tc>
          <w:tcPr>
            <w:tcW w:type="dxa" w:w="416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The beast's authority</w:t>
            </w:r>
          </w:p>
        </w:tc>
      </w:tr>
      <w:tr>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“Time, times, and half a time”</w:t>
            </w:r>
          </w:p>
        </w:tc>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3½ years</w:t>
            </w:r>
          </w:p>
        </w:tc>
        <w:tc>
          <w:tcPr>
            <w:tcW w:type="dxa" w:w="416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Persecution from Daniel to Revelation</w:t>
            </w:r>
          </w:p>
        </w:tc>
      </w:tr>
      <w:tr>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1,260 years (classical historicist)</w:t>
            </w:r>
          </w:p>
        </w:tc>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538–1798 A.D.</w:t>
            </w:r>
          </w:p>
        </w:tc>
        <w:tc>
          <w:tcPr>
            <w:tcW w:type="dxa" w:w="416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Long apostasy and preservation of the faithful remnant</w:t>
            </w:r>
          </w:p>
        </w:tc>
      </w:tr>
      <w:tr>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1,290 years (Daniel-12 chain)</w:t>
            </w:r>
          </w:p>
        </w:tc>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539–1829 A.D.</w:t>
            </w:r>
          </w:p>
        </w:tc>
        <w:tc>
          <w:tcPr>
            <w:tcW w:type="dxa" w:w="416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From Justinianic settlement to Catholic Emancipation</w:t>
            </w:r>
          </w:p>
        </w:tc>
      </w:tr>
      <w:tr>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1,290 + 1,260 (restorationist chain)</w:t>
            </w:r>
          </w:p>
        </w:tc>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721 B.C. → 570 A.D. → 1830 A.D.</w:t>
            </w:r>
          </w:p>
        </w:tc>
        <w:tc>
          <w:tcPr>
            <w:tcW w:type="dxa" w:w="416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From Israel's fall through creedal Christianity to the Restoration</w:t>
            </w:r>
          </w:p>
        </w:tc>
      </w:tr>
      <w:tr>
        <w:tc>
          <w:tcPr>
            <w:tcW w:type="dxa" w:w="312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Post-wilderness window</w:t>
            </w:r>
          </w:p>
        </w:tc>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1820–1830 A.D.</w:t>
            </w:r>
          </w:p>
        </w:tc>
        <w:tc>
          <w:tcPr>
            <w:tcW w:type="dxa" w:w="416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Second Great Awakening; Albury Conferences; First Vision; Book of Mormon; organization of the restored Church</w:t>
            </w:r>
          </w:p>
        </w:tc>
      </w:tr>
    </w:tbl>
    <w:p>
      <w:pPr>
        <w:pStyle w:val="Heading1"/>
        <w:spacing w:after="180" w:before="360"/>
        <w:jc w:val="left"/>
      </w:pPr>
      <w:r>
        <w:rPr>
          <w:rFonts w:ascii="Garamond" w:cs="Garamond" w:eastAsia="Garamond" w:hAnsi="Garamond"/>
          <w:b/>
          <w:bCs/>
          <w:sz w:val="32"/>
          <w:szCs w:val="32"/>
        </w:rPr>
        <w:t xml:space="preserve">XXV. Methodological Note — Multiple Refractions of One Prophecy</w:t>
      </w:r>
    </w:p>
    <w:p>
      <w:pPr>
        <w:spacing w:after="80" w:before="80" w:line="300"/>
        <w:jc w:val="both"/>
      </w:pPr>
      <w:r>
        <w:rPr>
          <w:rFonts w:ascii="Garamond" w:cs="Garamond" w:eastAsia="Garamond" w:hAnsi="Garamond"/>
          <w:sz w:val="24"/>
          <w:szCs w:val="24"/>
        </w:rPr>
        <w:t xml:space="preserve">A useful image is the prism: white light, passed through a prism, refracts into many colors — each true, none complete. The prophecy of the woman in the wilderness behaves the same way.</w:t>
      </w:r>
    </w:p>
    <w:p>
      <w:pPr>
        <w:spacing w:after="80" w:before="80" w:line="300"/>
        <w:jc w:val="both"/>
      </w:pPr>
      <w:r>
        <w:rPr>
          <w:rFonts w:ascii="Garamond" w:cs="Garamond" w:eastAsia="Garamond" w:hAnsi="Garamond"/>
          <w:sz w:val="24"/>
          <w:szCs w:val="24"/>
        </w:rPr>
        <w:t xml:space="preserve">Read literally and futuristically, it points to a still-future 3½ years of tribulation. Read spiritually and symbolically, it describes the soul's hidden formation under any season of trial. Read historically and typologically (538→1798), it traces the long medieval night and its ending in the wounding of papal political power. Read in the Daniel-12 frame (539→1829), it points to Catholic Emancipation as a legal milestone. Read in the restorationist frame (721 BC → 570 → 1830), it culminates in the organization of the Church of Christ — the woman's visible emergence with her child in the cradle of liberty prepared for him to grow.</w:t>
      </w:r>
    </w:p>
    <w:p>
      <w:pPr>
        <w:spacing w:after="80" w:before="80" w:line="300"/>
        <w:jc w:val="both"/>
      </w:pPr>
      <w:r>
        <w:rPr>
          <w:rFonts w:ascii="Garamond" w:cs="Garamond" w:eastAsia="Garamond" w:hAnsi="Garamond"/>
          <w:sz w:val="24"/>
          <w:szCs w:val="24"/>
        </w:rPr>
        <w:t xml:space="preserve">These readings are not mutually exclusive. They are the colors that emerge when the white light of Revelation 12 is passed through different prisms — historical, theological, dispensational. The personal anecdote that opened this paper — five separate promptings, an unexpected message about 1830 — invited the inquiry that produced these refractions. The honest scholarly position is to present all of them, acknowledge that official Latter-day Saint manuals teach the symbolism of apostasy and restoration without canonizing any specific date math, and let the reader weigh how each lens illuminates the prophetic picture.</w:t>
      </w:r>
    </w:p>
    <w:p>
      <w:pPr>
        <w:pStyle w:val="Heading1"/>
        <w:spacing w:after="180" w:before="360"/>
        <w:jc w:val="left"/>
      </w:pPr>
      <w:r>
        <w:rPr>
          <w:rFonts w:ascii="Garamond" w:cs="Garamond" w:eastAsia="Garamond" w:hAnsi="Garamond"/>
          <w:b/>
          <w:bCs/>
          <w:sz w:val="32"/>
          <w:szCs w:val="32"/>
        </w:rPr>
        <w:t xml:space="preserve">XXVI. Conclusion — 1830 and the Return of Divine Order</w:t>
      </w:r>
    </w:p>
    <w:p>
      <w:pPr>
        <w:spacing w:after="80" w:before="80" w:line="300"/>
        <w:jc w:val="both"/>
      </w:pPr>
      <w:r>
        <w:rPr>
          <w:rFonts w:ascii="Garamond" w:cs="Garamond" w:eastAsia="Garamond" w:hAnsi="Garamond"/>
          <w:sz w:val="24"/>
          <w:szCs w:val="24"/>
        </w:rPr>
        <w:t xml:space="preserve">The panorama of prophecy, viewed through Daniel's chronology, Isaiah's theology, Malachi's covenant warnings, Nephi's vision, and Joseph Smith's revelations, converges on one decisive moment: the Restoration of 1830.</w:t>
      </w:r>
    </w:p>
    <w:p>
      <w:pPr>
        <w:spacing w:after="80" w:before="80" w:line="300"/>
        <w:jc w:val="both"/>
      </w:pPr>
      <w:r>
        <w:rPr>
          <w:rFonts w:ascii="Garamond" w:cs="Garamond" w:eastAsia="Garamond" w:hAnsi="Garamond"/>
          <w:sz w:val="24"/>
          <w:szCs w:val="24"/>
        </w:rPr>
        <w:t xml:space="preserve">From the fall of Israel in 721 B.C. to the loss of apostolic authority after Christ, humanity entered a long night of partial light and spiritual desolation. Daniel foresaw this as the time when the “daily sacrifice” would be taken away and an “abomination of desolation” would stand in its place — a world worshiping without revelation, performing ordinances without power. Isaiah and Malachi voiced the same grief: “This people draw near me with their lips, but their heart is far from me”; “Ye have corrupted the covenant of Levi.” Religion had become administrative, law replaced love, and human decree substituted for divine law. That spiritual exile lasted, symbolically, 1,260 years — a wilderness age in which the woman of Revelation 12 fled from the dragon's face, preserved only by God's hidden hand.</w:t>
      </w:r>
    </w:p>
    <w:p>
      <w:pPr>
        <w:spacing w:after="80" w:before="80" w:line="300"/>
        <w:jc w:val="both"/>
      </w:pPr>
      <w:r>
        <w:rPr>
          <w:rFonts w:ascii="Garamond" w:cs="Garamond" w:eastAsia="Garamond" w:hAnsi="Garamond"/>
          <w:sz w:val="24"/>
          <w:szCs w:val="24"/>
        </w:rPr>
        <w:t xml:space="preserve">Yet the prophets also saw that desolation would end. Whether read through the 538→1798, 539→1829, or 721 BC→570→1830 lens, the late eighteenth and early nineteenth centuries form a coherent post-wilderness window. The Spirit that guided the Gentiles to a land of promise (1 Ne. 13:12) had prepared a nation founded in liberty — a cradle in which revelation could return unrestrained.</w:t>
      </w:r>
    </w:p>
    <w:p>
      <w:pPr>
        <w:spacing w:after="80" w:before="80" w:line="300"/>
        <w:jc w:val="both"/>
      </w:pPr>
      <w:r>
        <w:rPr>
          <w:rFonts w:ascii="Garamond" w:cs="Garamond" w:eastAsia="Garamond" w:hAnsi="Garamond"/>
          <w:sz w:val="24"/>
          <w:szCs w:val="24"/>
        </w:rPr>
        <w:t xml:space="preserve">Between 1829 and 1836, every key of priesthood authority and every pure ordinance of salvation was restored. John the Baptist restored the keys of repentance and baptism; Peter, James, and John restored the Melchizedek Priesthood and the keys of the kingdom; in the Kirtland Temple, Moses, Elias, and Elijah restored the gathering, covenant, and sealing powers. Through these endowments the power of godliness again became manifest on earth, fulfilling Daniel's promise, Isaiah's hope, Malachi's prophecy, and Nephi's vision. Hearts of fathers and children were turned toward each other through temple covenants, and the human family was bound anew into one chain of redemption.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80"/>
        <w:gridCol w:w="3640"/>
        <w:gridCol w:w="3640"/>
      </w:tblGrid>
      <w:tr>
        <w:trPr>
          <w:tblHeader/>
        </w:trPr>
        <w:tc>
          <w:tcPr>
            <w:tcW w:type="dxa" w:w="208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Prophet</w:t>
            </w:r>
          </w:p>
        </w:tc>
        <w:tc>
          <w:tcPr>
            <w:tcW w:type="dxa" w:w="364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Prophecy</w:t>
            </w:r>
          </w:p>
        </w:tc>
        <w:tc>
          <w:tcPr>
            <w:tcW w:type="dxa" w:w="3640"/>
            <w:tcBorders>
              <w:top w:val="single" w:color="808080" w:sz="4"/>
              <w:left w:val="single" w:color="808080" w:sz="4"/>
              <w:bottom w:val="single" w:color="808080" w:sz="4"/>
              <w:right w:val="single" w:color="808080" w:sz="4"/>
            </w:tcBorders>
            <w:shd w:fill="D5DCE4" w:val="clear"/>
            <w:tcMar>
              <w:top w:type="dxa" w:w="80"/>
              <w:left w:type="dxa" w:w="120"/>
              <w:bottom w:type="dxa" w:w="80"/>
              <w:right w:type="dxa" w:w="120"/>
            </w:tcMar>
          </w:tcPr>
          <w:p>
            <w:pPr>
              <w:jc w:val="left"/>
            </w:pPr>
            <w:r>
              <w:rPr>
                <w:rFonts w:ascii="Garamond" w:cs="Garamond" w:eastAsia="Garamond" w:hAnsi="Garamond"/>
                <w:b/>
                <w:bCs/>
                <w:sz w:val="22"/>
                <w:szCs w:val="22"/>
              </w:rPr>
              <w:t xml:space="preserve">Fulfillment in Restoration</w:t>
            </w:r>
          </w:p>
        </w:tc>
      </w:tr>
      <w:tr>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Daniel</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1,290 + 1,260 years of desolation</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Culminates in 1830 — the Restoration</w:t>
            </w:r>
          </w:p>
        </w:tc>
      </w:tr>
      <w:tr>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Isaiah</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“The Lord is our lawgiver”</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Divine law re-established through priesthood keys</w:t>
            </w:r>
          </w:p>
        </w:tc>
      </w:tr>
      <w:tr>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Malachi</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“He shall purify the sons of Levi… Elijah shall turn hearts”</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Keys of sealing restored (D&amp;C 110)</w:t>
            </w:r>
          </w:p>
        </w:tc>
      </w:tr>
      <w:tr>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Nephi</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“Spirit of God wrought upon a man… to a land of promise”</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America prepared for the gospel's return</w:t>
            </w:r>
          </w:p>
        </w:tc>
      </w:tr>
      <w:tr>
        <w:tc>
          <w:tcPr>
            <w:tcW w:type="dxa" w:w="208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John (Revelation 12)</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Woman in wilderness = Church in hiding</w:t>
            </w:r>
          </w:p>
        </w:tc>
        <w:tc>
          <w:tcPr>
            <w:tcW w:type="dxa" w:w="3640"/>
            <w:tcBorders>
              <w:top w:val="single" w:color="808080" w:sz="4"/>
              <w:left w:val="single" w:color="808080" w:sz="4"/>
              <w:bottom w:val="single" w:color="808080" w:sz="4"/>
              <w:right w:val="single" w:color="808080" w:sz="4"/>
            </w:tcBorders>
            <w:tcMar>
              <w:top w:type="dxa" w:w="80"/>
              <w:left w:type="dxa" w:w="120"/>
              <w:bottom w:type="dxa" w:w="80"/>
              <w:right w:type="dxa" w:w="120"/>
            </w:tcMar>
          </w:tcPr>
          <w:p>
            <w:pPr>
              <w:jc w:val="left"/>
            </w:pPr>
            <w:r>
              <w:rPr>
                <w:rFonts w:ascii="Garamond" w:cs="Garamond" w:eastAsia="Garamond" w:hAnsi="Garamond"/>
                <w:sz w:val="22"/>
                <w:szCs w:val="22"/>
              </w:rPr>
              <w:t xml:space="preserve">Emergence of the Church of Christ, 1830</w:t>
            </w:r>
          </w:p>
        </w:tc>
      </w:tr>
    </w:tbl>
    <w:p>
      <w:pPr>
        <w:spacing w:after="80" w:before="80" w:line="300"/>
        <w:jc w:val="both"/>
      </w:pPr>
      <w:r>
        <w:rPr>
          <w:rFonts w:ascii="Garamond" w:cs="Garamond" w:eastAsia="Garamond" w:hAnsi="Garamond"/>
          <w:sz w:val="24"/>
          <w:szCs w:val="24"/>
        </w:rPr>
        <w:t xml:space="preserve">In sum: A.D. 1830 marks the prophetic hinge of all sacred history — the year when the covenant people were called out of the wilderness and the power of godliness once again descended among humankind. It is the restoration not only of a church, but of divine order itself — the reappearance of the Kingdom of God upon the earth in preparation for the return of the King.</w:t>
      </w:r>
    </w:p>
    <w:p>
      <w:r>
        <w:br w:type="page"/>
      </w:r>
    </w:p>
    <w:p>
      <w:pPr>
        <w:pStyle w:val="Heading1"/>
        <w:spacing w:after="240" w:before="480"/>
        <w:jc w:val="center"/>
      </w:pPr>
      <w:r>
        <w:rPr>
          <w:rFonts w:ascii="Garamond" w:cs="Garamond" w:eastAsia="Garamond" w:hAnsi="Garamond"/>
          <w:b/>
          <w:bCs/>
          <w:smallCaps/>
          <w:sz w:val="34"/>
          <w:szCs w:val="34"/>
        </w:rPr>
        <w:t xml:space="preserve">Epilogue — The Fullness of the Gospel Restored</w:t>
      </w:r>
    </w:p>
    <w:p>
      <w:pPr>
        <w:spacing w:after="80" w:before="80" w:line="300"/>
        <w:jc w:val="both"/>
      </w:pPr>
      <w:r>
        <w:rPr>
          <w:rFonts w:ascii="Garamond" w:cs="Garamond" w:eastAsia="Garamond" w:hAnsi="Garamond"/>
          <w:sz w:val="24"/>
          <w:szCs w:val="24"/>
        </w:rPr>
        <w:t xml:space="preserve">Across the ages, the prophetic record tells one continuous story — the rise, loss, preservation, and final return of divine truth. From Daniel's vision of sacred worship taken away, to Isaiah's lament over corrupted ordinances, to Malachi's promise that hearts would be turned again, the pattern is unmistakable: when the power of godliness departs, God prepares the way for its return.</w:t>
      </w:r>
    </w:p>
    <w:p>
      <w:pPr>
        <w:spacing w:after="80" w:before="80" w:line="300"/>
        <w:jc w:val="both"/>
      </w:pPr>
      <w:r>
        <w:rPr>
          <w:rFonts w:ascii="Garamond" w:cs="Garamond" w:eastAsia="Garamond" w:hAnsi="Garamond"/>
          <w:sz w:val="24"/>
          <w:szCs w:val="24"/>
        </w:rPr>
        <w:t xml:space="preserve">That pattern reached its culmination in the early nineteenth century. After centuries of spiritual desolation — the wilderness of Revelation 12 — the heavens reopened. A young seeker, Joseph Smith, asked which church he should join and was told that the creeds were an abomination because they had replaced revelation with tradition. In that moment the long night ended, and the Restoration began.</w:t>
      </w:r>
    </w:p>
    <w:p>
      <w:pPr>
        <w:spacing w:after="80" w:before="80" w:line="300"/>
        <w:jc w:val="both"/>
      </w:pPr>
      <w:r>
        <w:rPr>
          <w:rFonts w:ascii="Garamond" w:cs="Garamond" w:eastAsia="Garamond" w:hAnsi="Garamond"/>
          <w:sz w:val="24"/>
          <w:szCs w:val="24"/>
        </w:rPr>
        <w:t xml:space="preserve">The Book of Mormon emerged from the earth as a preserved record, echoing the woman nourished in the wilderness. Its pages restored the plain and precious truths that had been lost from the Bible, reuniting scripture into a single witness of Jesus Christ. Within a decade, heavenly messengers restored the priesthood keys and ordinances that manifest the power of godliness. Through Elijah, Moses, and Elias, the covenants of family, gathering, and salvation were renewed; hearts of fathers and children were joined; temples rose as signs that heaven and earth were linked once more.</w:t>
      </w:r>
    </w:p>
    <w:p>
      <w:pPr>
        <w:spacing w:after="80" w:before="80" w:line="300"/>
        <w:jc w:val="both"/>
      </w:pPr>
      <w:r>
        <w:rPr>
          <w:rFonts w:ascii="Garamond" w:cs="Garamond" w:eastAsia="Garamond" w:hAnsi="Garamond"/>
          <w:sz w:val="24"/>
          <w:szCs w:val="24"/>
        </w:rPr>
        <w:t xml:space="preserve">Thus the year A.D. 1830 stands as the hinge of prophetic history — the turning point where the woman emerged from the wilderness, where hidden records spoke again, and where the covenant people were re-established upon the land of liberty foreseen by Nephi. The Restoration is therefore not merely a new beginning but the completion of an ancient circle: the return of divine order, the renewal of plain truth, and the assurance that the Lord's hand is stretched out still.</w:t>
      </w:r>
    </w:p>
    <w:p>
      <w:pPr>
        <w:spacing w:after="80" w:before="80" w:line="300"/>
        <w:jc w:val="both"/>
      </w:pPr>
      <w:r>
        <w:rPr>
          <w:rFonts w:ascii="Garamond" w:cs="Garamond" w:eastAsia="Garamond" w:hAnsi="Garamond"/>
          <w:sz w:val="24"/>
          <w:szCs w:val="24"/>
        </w:rPr>
        <w:t xml:space="preserve">In the words of modern revelation:</w:t>
      </w:r>
    </w:p>
    <w:p>
      <w:pPr>
        <w:spacing w:after="120" w:before="120" w:line="280"/>
        <w:ind w:left="720" w:right="720"/>
        <w:jc w:val="both"/>
      </w:pPr>
      <w:r>
        <w:rPr>
          <w:rFonts w:ascii="Garamond" w:cs="Garamond" w:eastAsia="Garamond" w:hAnsi="Garamond"/>
          <w:i/>
          <w:iCs/>
          <w:sz w:val="22"/>
          <w:szCs w:val="22"/>
        </w:rPr>
        <w:t xml:space="preserve">“That mine everlasting covenant might be established; that the fullness of my gospel might be proclaimed by the weak and the simple unto the ends of the world.” — Doctrine and Covenants 1:22–23.</w:t>
      </w:r>
    </w:p>
    <w:p>
      <w:pPr>
        <w:spacing w:before="480"/>
        <w:jc w:val="center"/>
      </w:pPr>
      <w:r>
        <w:rPr>
          <w:rFonts w:ascii="Garamond" w:cs="Garamond" w:eastAsia="Garamond" w:hAnsi="Garamond"/>
          <w:i/>
          <w:iCs/>
          <w:sz w:val="24"/>
          <w:szCs w:val="24"/>
        </w:rPr>
        <w:t xml:space="preserve">— End of Document —</w:t>
      </w:r>
    </w:p>
    <w:sectPr>
      <w:footerReference r:id="rId8" w:type="default"/>
      <w:footerReference r:id="rId9" w:type="first"/>
      <w:pgSz w:w="12240" w:h="15840" w:orient="portrait"/>
      <w:pgMar w:top="1440" w:right="1440" w:bottom="1440" w:left="1440" w:header="708" w:footer="708" w:gutter="0"/>
      <w:pgNumType/>
      <w:titlePg/>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http://schemas.openxmlformats.org/wordprocessingml/2006/main" xmlns:r="http://schemas.openxmlformats.org/officeDocument/2006/relationships">
  <w:p>
    <w:pPr>
      <w:jc w:val="right"/>
    </w:pPr>
    <w:r>
      <w:rPr>
        <w:rFonts w:ascii="Garamond" w:cs="Garamond" w:eastAsia="Garamond" w:hAnsi="Garamond"/>
        <w:color w:val="595959"/>
        <w:sz w:val="20"/>
        <w:szCs w:val="20"/>
      </w:rPr>
      <w:fldChar w:fldCharType="begin"/>
    </w:r>
    <w:r>
      <w:rPr>
        <w:rFonts w:ascii="Garamond" w:cs="Garamond" w:eastAsia="Garamond" w:hAnsi="Garamond"/>
        <w:color w:val="595959"/>
        <w:sz w:val="20"/>
        <w:szCs w:val="20"/>
      </w:rPr>
      <w:instrText xml:space="preserve"> PAGE </w:instrText>
    </w:r>
    <w:r>
      <w:rPr>
        <w:rFonts w:ascii="Garamond" w:cs="Garamond" w:eastAsia="Garamond" w:hAnsi="Garamond"/>
        <w:color w:val="595959"/>
        <w:sz w:val="20"/>
        <w:szCs w:val="20"/>
      </w:rPr>
      <w:fldChar w:fldCharType="separate"/>
    </w:r>
    <w:r>
      <w:rPr>
        <w:rFonts w:ascii="Garamond" w:cs="Garamond" w:eastAsia="Garamond" w:hAnsi="Garamond"/>
        <w:color w:val="595959"/>
        <w:sz w:val="20"/>
        <w:szCs w:val="20"/>
      </w:rPr>
      <w:t>1</w:t>
    </w:r>
    <w:r>
      <w:rPr>
        <w:rFonts w:ascii="Garamond" w:cs="Garamond" w:eastAsia="Garamond" w:hAnsi="Garamond"/>
        <w:color w:val="595959"/>
        <w:sz w:val="20"/>
        <w:szCs w:val="20"/>
      </w:rPr>
      <w:fldChar w:fldCharType="end"/>
    </w:r>
  </w:p>
</w:ftr>
</file>

<file path=word/footer2.xml><?xml version="1.0" encoding="utf-8"?>
<w:ftr xmlns:w="http://schemas.openxmlformats.org/wordprocessingml/2006/main" xmlns:r="http://schemas.openxmlformats.org/officeDocument/2006/relationships">
  <w:p>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aramond" w:cs="Garamond" w:eastAsia="Garamond" w:hAnsi="Garamond"/>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360"/>
      <w:outlineLvl w:val="0"/>
    </w:pPr>
    <w:rPr>
      <w:rFonts w:ascii="Garamond" w:cs="Garamond" w:eastAsia="Garamond" w:hAnsi="Garamond"/>
      <w:b/>
      <w:bCs/>
      <w:color w:val="1F2937"/>
      <w:sz w:val="32"/>
      <w:szCs w:val="32"/>
    </w:rPr>
  </w:style>
  <w:style w:type="paragraph" w:styleId="Heading2">
    <w:name w:val="Heading 2"/>
    <w:basedOn w:val="Normal"/>
    <w:next w:val="Normal"/>
    <w:qFormat/>
    <w:pPr>
      <w:spacing w:after="140" w:before="280"/>
      <w:outlineLvl w:val="1"/>
    </w:pPr>
    <w:rPr>
      <w:rFonts w:ascii="Garamond" w:cs="Garamond" w:eastAsia="Garamond" w:hAnsi="Garamond"/>
      <w:b/>
      <w:bCs/>
      <w:color w:val="1F2937"/>
      <w:sz w:val="28"/>
      <w:szCs w:val="28"/>
    </w:rPr>
  </w:style>
  <w:style w:type="paragraph" w:styleId="Heading3">
    <w:name w:val="Heading 3"/>
    <w:basedOn w:val="Normal"/>
    <w:next w:val="Normal"/>
    <w:qFormat/>
    <w:pPr>
      <w:spacing w:after="100" w:before="200"/>
      <w:outlineLvl w:val="2"/>
    </w:pPr>
    <w:rPr>
      <w:rFonts w:ascii="Garamond" w:cs="Garamond" w:eastAsia="Garamond" w:hAnsi="Garamond"/>
      <w:b/>
      <w:bCs/>
      <w:i/>
      <w:iCs/>
      <w:color w:val="1F2937"/>
      <w:sz w:val="25"/>
      <w:szCs w:val="25"/>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 Id="rId8" Type="http://schemas.openxmlformats.org/officeDocument/2006/relationships/footer" Target="footer1.xml"/><Relationship Id="rId9" Type="http://schemas.openxmlformats.org/officeDocument/2006/relationships/footer" Target="footer2.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From Wilderness to Restoration</dc:title>
  <dc:creator>Author</dc:creator>
  <cp:lastModifiedBy>Un-named</cp:lastModifiedBy>
  <cp:revision>1</cp:revision>
  <dcterms:created xsi:type="dcterms:W3CDTF">2026-04-27T04:17:14.867Z</dcterms:created>
  <dcterms:modified xsi:type="dcterms:W3CDTF">2026-04-27T04:17:14.868Z</dcterms:modified>
</cp:coreProperties>
</file>

<file path=docProps/custom.xml><?xml version="1.0" encoding="utf-8"?>
<Properties xmlns="http://schemas.openxmlformats.org/officeDocument/2006/custom-properties" xmlns:vt="http://schemas.openxmlformats.org/officeDocument/2006/docPropsVTypes"/>
</file>